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2" w:rsidRPr="00F00E5A" w:rsidRDefault="0092451B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2" style="position:absolute;left:0;text-align:left;margin-left:82.5pt;margin-top:-11.25pt;width:363.75pt;height:101.25pt;z-index:-251659265" arcsize="10923f" fillcolor="#8488c4">
            <v:fill color2="#96ab94" rotate="t" colors="0 #8488c4;34734f #d4deff;54395f #d4deff;1 #96ab94" method="none" focus="100%" type="gradient"/>
          </v:roundrect>
        </w:pict>
      </w:r>
      <w:r w:rsidR="00F00E5A" w:rsidRPr="00F00E5A">
        <w:rPr>
          <w:rFonts w:ascii="Times New Roman" w:hAnsi="Times New Roman" w:cs="Times New Roman"/>
          <w:b/>
          <w:sz w:val="26"/>
          <w:szCs w:val="26"/>
        </w:rPr>
        <w:t xml:space="preserve">ПРОЕКТ БЮДЖЕТА </w:t>
      </w:r>
    </w:p>
    <w:p w:rsidR="00F00E5A" w:rsidRPr="00F00E5A" w:rsidRDefault="00F00E5A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E5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F00E5A" w:rsidRPr="00F00E5A" w:rsidRDefault="00F00E5A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E5A">
        <w:rPr>
          <w:rFonts w:ascii="Times New Roman" w:hAnsi="Times New Roman" w:cs="Times New Roman"/>
          <w:b/>
          <w:sz w:val="26"/>
          <w:szCs w:val="26"/>
        </w:rPr>
        <w:t>на 2019 год и плановый период 2020-2021 годов</w:t>
      </w:r>
    </w:p>
    <w:p w:rsidR="00F00E5A" w:rsidRDefault="00F00E5A" w:rsidP="008501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Pr="00E12155" w:rsidRDefault="00854399" w:rsidP="00E12155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  <w:proofErr w:type="gramStart"/>
      <w:r w:rsidRPr="00E12155">
        <w:rPr>
          <w:spacing w:val="-2"/>
          <w:sz w:val="22"/>
          <w:szCs w:val="22"/>
        </w:rPr>
        <w:t>(проект Решения Думы городского округа Спасск-Дальний</w:t>
      </w:r>
      <w:proofErr w:type="gramEnd"/>
    </w:p>
    <w:p w:rsidR="00854399" w:rsidRPr="00E12155" w:rsidRDefault="00854399" w:rsidP="00E12155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  <w:r w:rsidRPr="00E12155">
        <w:rPr>
          <w:spacing w:val="-2"/>
          <w:sz w:val="22"/>
          <w:szCs w:val="22"/>
        </w:rPr>
        <w:t xml:space="preserve">«О бюджете городского округа Спасск-Дальний на 2019 год </w:t>
      </w:r>
    </w:p>
    <w:p w:rsidR="00854399" w:rsidRPr="00854399" w:rsidRDefault="00854399" w:rsidP="00854399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  <w:r w:rsidRPr="00854399">
        <w:rPr>
          <w:spacing w:val="-2"/>
          <w:sz w:val="22"/>
          <w:szCs w:val="22"/>
        </w:rPr>
        <w:t>и плановый период 2020  и 2021 годов»</w:t>
      </w:r>
      <w:r w:rsidR="00E1215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 полным пакетом приложений</w:t>
      </w:r>
    </w:p>
    <w:p w:rsidR="00854399" w:rsidRDefault="00854399" w:rsidP="00850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доступен по ссылке </w:t>
      </w:r>
      <w:hyperlink r:id="rId4" w:history="1">
        <w:r w:rsidRPr="00AF47DE">
          <w:rPr>
            <w:rStyle w:val="a9"/>
            <w:rFonts w:ascii="Times New Roman" w:hAnsi="Times New Roman" w:cs="Times New Roman"/>
          </w:rPr>
          <w:t>http://spasskd.ru/images/stories/2018/zip/1107-2.zip</w:t>
        </w:r>
      </w:hyperlink>
      <w:proofErr w:type="gramStart"/>
      <w:r w:rsidR="00E12155">
        <w:rPr>
          <w:rFonts w:ascii="Times New Roman" w:hAnsi="Times New Roman" w:cs="Times New Roman"/>
        </w:rPr>
        <w:t xml:space="preserve"> )</w:t>
      </w:r>
      <w:proofErr w:type="gramEnd"/>
    </w:p>
    <w:p w:rsidR="00FD2534" w:rsidRPr="000D7BA1" w:rsidRDefault="00850182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BA1">
        <w:rPr>
          <w:rFonts w:ascii="Times New Roman" w:hAnsi="Times New Roman" w:cs="Times New Roman"/>
          <w:b/>
          <w:sz w:val="26"/>
          <w:szCs w:val="26"/>
        </w:rPr>
        <w:t>Основные показатели прогноза социально-экономического развития</w:t>
      </w:r>
    </w:p>
    <w:p w:rsidR="00850182" w:rsidRPr="000D7BA1" w:rsidRDefault="00850182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BA1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на 2019 год и плановый период 2020-2021 годов</w:t>
      </w:r>
    </w:p>
    <w:tbl>
      <w:tblPr>
        <w:tblW w:w="10667" w:type="dxa"/>
        <w:jc w:val="center"/>
        <w:tblInd w:w="93" w:type="dxa"/>
        <w:shd w:val="clear" w:color="auto" w:fill="BAFCDE"/>
        <w:tblLook w:val="04A0"/>
      </w:tblPr>
      <w:tblGrid>
        <w:gridCol w:w="3496"/>
        <w:gridCol w:w="1813"/>
        <w:gridCol w:w="876"/>
        <w:gridCol w:w="876"/>
        <w:gridCol w:w="978"/>
        <w:gridCol w:w="876"/>
        <w:gridCol w:w="876"/>
        <w:gridCol w:w="876"/>
      </w:tblGrid>
      <w:tr w:rsidR="00135FE9" w:rsidRPr="00135FE9" w:rsidTr="00AB252A">
        <w:trPr>
          <w:trHeight w:val="639"/>
          <w:jc w:val="center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135FE9" w:rsidRPr="00135FE9" w:rsidTr="00AB252A">
        <w:trPr>
          <w:trHeight w:val="457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135FE9" w:rsidRPr="00135FE9" w:rsidTr="00AB252A">
        <w:trPr>
          <w:trHeight w:val="285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E9" w:rsidRPr="00135FE9" w:rsidTr="00AB252A">
        <w:trPr>
          <w:trHeight w:val="380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39,467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продукции (работ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слуг)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1197,1</w:t>
            </w:r>
          </w:p>
        </w:tc>
      </w:tr>
      <w:tr w:rsidR="00135FE9" w:rsidRPr="00135FE9" w:rsidTr="00AB252A">
        <w:trPr>
          <w:trHeight w:val="1278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101,13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потребительских цен в среднем за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135FE9" w:rsidRPr="00135FE9" w:rsidTr="00AB252A">
        <w:trPr>
          <w:trHeight w:val="32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35FE9" w:rsidRPr="00135FE9" w:rsidTr="00AB252A">
        <w:trPr>
          <w:trHeight w:val="32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801,7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8A3B11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5FE9"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</w:p>
        </w:tc>
      </w:tr>
      <w:tr w:rsidR="00135FE9" w:rsidRPr="00135FE9" w:rsidTr="00AB252A">
        <w:trPr>
          <w:trHeight w:val="32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</w:t>
            </w:r>
            <w:r w:rsidR="008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135FE9" w:rsidRPr="00135FE9" w:rsidTr="00AB252A">
        <w:trPr>
          <w:trHeight w:val="639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40,865</w:t>
            </w:r>
          </w:p>
        </w:tc>
      </w:tr>
      <w:tr w:rsidR="00135FE9" w:rsidRPr="00135FE9" w:rsidTr="00AB252A">
        <w:trPr>
          <w:trHeight w:val="32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DE"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vAlign w:val="center"/>
            <w:hideMark/>
          </w:tcPr>
          <w:p w:rsidR="00135FE9" w:rsidRPr="00135FE9" w:rsidRDefault="00135FE9" w:rsidP="001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очей</w:t>
            </w: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AFCDE"/>
            <w:noWrap/>
            <w:vAlign w:val="bottom"/>
            <w:hideMark/>
          </w:tcPr>
          <w:p w:rsidR="00135FE9" w:rsidRPr="00135FE9" w:rsidRDefault="00135FE9" w:rsidP="0013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4C0D14" w:rsidRDefault="004C0D14" w:rsidP="008A3B1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5A49" w:rsidRPr="009367D6" w:rsidRDefault="002B5A49" w:rsidP="008A3B1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367D6">
        <w:rPr>
          <w:rFonts w:ascii="Times New Roman" w:hAnsi="Times New Roman" w:cs="Times New Roman"/>
          <w:b/>
          <w:sz w:val="26"/>
          <w:szCs w:val="26"/>
        </w:rPr>
        <w:t>Промышленное производство</w:t>
      </w:r>
    </w:p>
    <w:p w:rsidR="002B5A49" w:rsidRDefault="00B27B52" w:rsidP="00850182">
      <w:pPr>
        <w:jc w:val="center"/>
        <w:rPr>
          <w:rFonts w:ascii="Times New Roman" w:hAnsi="Times New Roman" w:cs="Times New Roman"/>
          <w:sz w:val="26"/>
          <w:szCs w:val="26"/>
        </w:rPr>
      </w:pPr>
      <w:r w:rsidRPr="00B27B5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40055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132D" w:rsidRPr="009367D6" w:rsidRDefault="005F37F7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7D6">
        <w:rPr>
          <w:rFonts w:ascii="Times New Roman" w:hAnsi="Times New Roman" w:cs="Times New Roman"/>
          <w:b/>
          <w:sz w:val="26"/>
          <w:szCs w:val="26"/>
        </w:rPr>
        <w:t>Малое и среднее предпринимательство</w:t>
      </w:r>
    </w:p>
    <w:p w:rsidR="00E0132D" w:rsidRDefault="00E0132D" w:rsidP="00850182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3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2812415"/>
            <wp:effectExtent l="0" t="0" r="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6366" w:rsidRDefault="00D004BD" w:rsidP="00850182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4B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53150" cy="2686050"/>
            <wp:effectExtent l="0" t="0" r="0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5A49" w:rsidRPr="00966717" w:rsidRDefault="005F37F7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717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5F37F7" w:rsidRDefault="00C00EAF" w:rsidP="00C00EAF">
      <w:pPr>
        <w:rPr>
          <w:rFonts w:ascii="Times New Roman" w:hAnsi="Times New Roman" w:cs="Times New Roman"/>
          <w:sz w:val="26"/>
          <w:szCs w:val="26"/>
        </w:rPr>
      </w:pPr>
      <w:r w:rsidRPr="00C00EA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2705100"/>
            <wp:effectExtent l="76200" t="19050" r="57785" b="7620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0547" w:rsidRPr="00ED0547" w:rsidRDefault="00ED0547" w:rsidP="00ED05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547">
        <w:rPr>
          <w:rFonts w:ascii="Times New Roman" w:hAnsi="Times New Roman" w:cs="Times New Roman"/>
          <w:b/>
          <w:sz w:val="26"/>
          <w:szCs w:val="26"/>
        </w:rPr>
        <w:t>Номинальная начисленная среднемесячная заработная плата работников организаций</w:t>
      </w:r>
    </w:p>
    <w:p w:rsidR="00C00EAF" w:rsidRDefault="00ED0547" w:rsidP="00C00E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руб. в месяц)</w:t>
      </w:r>
    </w:p>
    <w:p w:rsidR="00C00EAF" w:rsidRDefault="00ED0547" w:rsidP="00C00EAF">
      <w:pPr>
        <w:rPr>
          <w:rFonts w:ascii="Times New Roman" w:hAnsi="Times New Roman" w:cs="Times New Roman"/>
          <w:sz w:val="26"/>
          <w:szCs w:val="26"/>
        </w:rPr>
      </w:pPr>
      <w:r w:rsidRPr="00ED054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2571750"/>
            <wp:effectExtent l="19050" t="0" r="19685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0547" w:rsidRDefault="00ED0547" w:rsidP="00C00EAF">
      <w:pPr>
        <w:rPr>
          <w:rFonts w:ascii="Times New Roman" w:hAnsi="Times New Roman" w:cs="Times New Roman"/>
          <w:sz w:val="26"/>
          <w:szCs w:val="26"/>
        </w:rPr>
      </w:pPr>
    </w:p>
    <w:p w:rsidR="00ED0547" w:rsidRDefault="000D7BA1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BA1">
        <w:rPr>
          <w:rFonts w:ascii="Times New Roman" w:hAnsi="Times New Roman" w:cs="Times New Roman"/>
          <w:b/>
          <w:sz w:val="26"/>
          <w:szCs w:val="26"/>
        </w:rPr>
        <w:lastRenderedPageBreak/>
        <w:t>Основные задачи и приоритетные направления бюджетной политики</w:t>
      </w:r>
    </w:p>
    <w:p w:rsidR="000D7BA1" w:rsidRDefault="000D7BA1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характеристики бюджета</w:t>
      </w:r>
    </w:p>
    <w:tbl>
      <w:tblPr>
        <w:tblW w:w="8040" w:type="dxa"/>
        <w:jc w:val="center"/>
        <w:tblInd w:w="93" w:type="dxa"/>
        <w:tblLook w:val="04A0"/>
      </w:tblPr>
      <w:tblGrid>
        <w:gridCol w:w="4127"/>
        <w:gridCol w:w="1033"/>
        <w:gridCol w:w="960"/>
        <w:gridCol w:w="960"/>
        <w:gridCol w:w="960"/>
      </w:tblGrid>
      <w:tr w:rsidR="005A662E" w:rsidRPr="005A662E" w:rsidTr="005A662E">
        <w:trPr>
          <w:trHeight w:val="33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</w:t>
            </w:r>
            <w:proofErr w:type="gramStart"/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2018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5A662E" w:rsidRPr="005A662E" w:rsidTr="005A662E">
        <w:trPr>
          <w:trHeight w:val="330"/>
          <w:jc w:val="center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769,12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442,51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384,42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из краевого бюджета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58,09</w:t>
            </w:r>
          </w:p>
        </w:tc>
      </w:tr>
      <w:tr w:rsidR="005A662E" w:rsidRPr="005A662E" w:rsidTr="005A662E">
        <w:trPr>
          <w:trHeight w:val="645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 субсидии из краевого и федерального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326,61</w:t>
            </w:r>
          </w:p>
        </w:tc>
      </w:tr>
      <w:tr w:rsidR="005A662E" w:rsidRPr="005A662E" w:rsidTr="005A662E">
        <w:trPr>
          <w:trHeight w:val="33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770,12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собственных доходов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443,51</w:t>
            </w:r>
          </w:p>
        </w:tc>
      </w:tr>
      <w:tr w:rsidR="005A662E" w:rsidRPr="005A662E" w:rsidTr="005A662E">
        <w:trPr>
          <w:trHeight w:val="315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субвенций и субсидий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326,61</w:t>
            </w:r>
          </w:p>
        </w:tc>
      </w:tr>
      <w:tr w:rsidR="005A662E" w:rsidRPr="005A662E" w:rsidTr="005A662E">
        <w:trPr>
          <w:trHeight w:val="330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A662E" w:rsidRPr="005A662E" w:rsidRDefault="005A662E" w:rsidP="005A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</w:tbl>
    <w:p w:rsidR="000D7BA1" w:rsidRDefault="000D7BA1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97" w:rsidRDefault="001A0997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97" w:rsidRPr="001A0997" w:rsidRDefault="001A0997" w:rsidP="000D7BA1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997">
        <w:rPr>
          <w:rFonts w:ascii="Times New Roman" w:hAnsi="Times New Roman" w:cs="Times New Roman"/>
          <w:sz w:val="26"/>
          <w:szCs w:val="26"/>
          <w:highlight w:val="cyan"/>
        </w:rPr>
        <w:t>2018</w:t>
      </w:r>
      <w:r>
        <w:rPr>
          <w:rFonts w:ascii="Times New Roman" w:hAnsi="Times New Roman" w:cs="Times New Roman"/>
          <w:sz w:val="26"/>
          <w:szCs w:val="26"/>
          <w:highlight w:val="cyan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highlight w:val="cyan"/>
        </w:rPr>
        <w:tab/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  <w:t>2019</w:t>
      </w:r>
      <w:r>
        <w:rPr>
          <w:rFonts w:ascii="Times New Roman" w:hAnsi="Times New Roman" w:cs="Times New Roman"/>
          <w:sz w:val="26"/>
          <w:szCs w:val="26"/>
          <w:highlight w:val="cyan"/>
        </w:rPr>
        <w:t xml:space="preserve"> год</w:t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  <w:t>2020</w:t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</w:r>
      <w:r>
        <w:rPr>
          <w:rFonts w:ascii="Times New Roman" w:hAnsi="Times New Roman" w:cs="Times New Roman"/>
          <w:sz w:val="26"/>
          <w:szCs w:val="26"/>
          <w:highlight w:val="cyan"/>
        </w:rPr>
        <w:t>год</w:t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</w:r>
      <w:r w:rsidRPr="001A0997">
        <w:rPr>
          <w:rFonts w:ascii="Times New Roman" w:hAnsi="Times New Roman" w:cs="Times New Roman"/>
          <w:sz w:val="26"/>
          <w:szCs w:val="26"/>
          <w:highlight w:val="cyan"/>
        </w:rPr>
        <w:tab/>
        <w:t>2021 год</w:t>
      </w:r>
    </w:p>
    <w:p w:rsidR="000D7BA1" w:rsidRDefault="001A0997" w:rsidP="000D7BA1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9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4265295"/>
            <wp:effectExtent l="19050" t="0" r="19685" b="190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547" w:rsidRDefault="00E91FBE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Виды доходов бюджета</w:t>
      </w:r>
    </w:p>
    <w:p w:rsidR="00E91FBE" w:rsidRDefault="00E91FBE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 w:rsidRPr="00E91F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4005580"/>
            <wp:effectExtent l="19050" t="0" r="63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1FBE" w:rsidRDefault="000427BD" w:rsidP="006B0E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налоговых</w:t>
      </w:r>
      <w:r w:rsidR="00D13247">
        <w:rPr>
          <w:rFonts w:ascii="Times New Roman" w:hAnsi="Times New Roman" w:cs="Times New Roman"/>
          <w:sz w:val="26"/>
          <w:szCs w:val="26"/>
        </w:rPr>
        <w:t xml:space="preserve"> и неналоговых</w:t>
      </w:r>
      <w:r>
        <w:rPr>
          <w:rFonts w:ascii="Times New Roman" w:hAnsi="Times New Roman" w:cs="Times New Roman"/>
          <w:sz w:val="26"/>
          <w:szCs w:val="26"/>
        </w:rPr>
        <w:t xml:space="preserve"> доходов</w:t>
      </w:r>
    </w:p>
    <w:tbl>
      <w:tblPr>
        <w:tblW w:w="9900" w:type="dxa"/>
        <w:tblInd w:w="93" w:type="dxa"/>
        <w:tblLook w:val="04A0"/>
      </w:tblPr>
      <w:tblGrid>
        <w:gridCol w:w="4700"/>
        <w:gridCol w:w="1300"/>
        <w:gridCol w:w="1300"/>
        <w:gridCol w:w="1300"/>
        <w:gridCol w:w="1300"/>
      </w:tblGrid>
      <w:tr w:rsidR="00714765" w:rsidRPr="00714765" w:rsidTr="00714765">
        <w:trPr>
          <w:trHeight w:val="3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714765" w:rsidRPr="00714765" w:rsidTr="00714765">
        <w:trPr>
          <w:trHeight w:val="315"/>
        </w:trPr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2018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714765" w:rsidRPr="00714765" w:rsidTr="00714765">
        <w:trPr>
          <w:trHeight w:val="465"/>
        </w:trPr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14765" w:rsidRPr="00714765" w:rsidTr="00714765">
        <w:trPr>
          <w:trHeight w:val="7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414,42</w:t>
            </w:r>
          </w:p>
        </w:tc>
      </w:tr>
      <w:tr w:rsidR="00714765" w:rsidRPr="00714765" w:rsidTr="00714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144,60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251,72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266,04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278,86</w:t>
            </w:r>
          </w:p>
        </w:tc>
      </w:tr>
      <w:tr w:rsidR="00714765" w:rsidRPr="00714765" w:rsidTr="00714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7,91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9,54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9,54</w:t>
            </w:r>
          </w:p>
        </w:tc>
      </w:tr>
      <w:tr w:rsidR="00714765" w:rsidRPr="00714765" w:rsidTr="00714765">
        <w:trPr>
          <w:trHeight w:val="43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49,05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</w:tr>
      <w:tr w:rsidR="00714765" w:rsidRPr="00714765" w:rsidTr="00714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714765" w:rsidRPr="00714765" w:rsidTr="00714765">
        <w:trPr>
          <w:trHeight w:val="36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714765" w:rsidRPr="00714765" w:rsidTr="00714765">
        <w:trPr>
          <w:trHeight w:val="39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</w:tr>
      <w:tr w:rsidR="00714765" w:rsidRPr="00714765" w:rsidTr="00714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33,10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33,20</w:t>
            </w:r>
          </w:p>
        </w:tc>
      </w:tr>
      <w:tr w:rsidR="00714765" w:rsidRPr="00714765" w:rsidTr="00714765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9EF31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EF31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</w:tr>
      <w:tr w:rsidR="00714765" w:rsidRPr="00714765" w:rsidTr="00714765">
        <w:trPr>
          <w:trHeight w:val="66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муниципальное имущество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18,20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20,01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50,52</w:t>
            </w:r>
          </w:p>
        </w:tc>
      </w:tr>
      <w:tr w:rsidR="00714765" w:rsidRPr="00714765" w:rsidTr="00714765">
        <w:trPr>
          <w:trHeight w:val="6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</w:tr>
      <w:tr w:rsidR="00714765" w:rsidRPr="00714765" w:rsidTr="00714765">
        <w:trPr>
          <w:trHeight w:val="69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</w:tr>
      <w:tr w:rsidR="00714765" w:rsidRPr="00714765" w:rsidTr="00714765">
        <w:trPr>
          <w:trHeight w:val="66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714765" w:rsidRPr="00714765" w:rsidTr="00714765">
        <w:trPr>
          <w:trHeight w:val="7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и компенсации затрат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714765" w:rsidRPr="00714765" w:rsidTr="00714765">
        <w:trPr>
          <w:trHeight w:val="67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муниципального имущества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714765" w:rsidRPr="00714765" w:rsidTr="00714765">
        <w:trPr>
          <w:trHeight w:val="37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714765" w:rsidRPr="00714765" w:rsidRDefault="00714765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714765" w:rsidRPr="00714765" w:rsidRDefault="00714765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</w:tbl>
    <w:p w:rsidR="000427BD" w:rsidRDefault="000427BD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2375" w:rsidRDefault="00772375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Динамика налоговых и неналоговых поступлений, </w:t>
      </w:r>
    </w:p>
    <w:p w:rsidR="000427BD" w:rsidRDefault="00772375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удельным весом в сумме доходов более 5%</w:t>
      </w:r>
    </w:p>
    <w:p w:rsidR="00E12155" w:rsidRDefault="0092451B" w:rsidP="007723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299.4pt;margin-top:5.7pt;width:75.75pt;height:29.25pt;z-index:251659264" fillcolor="#00b0f0">
            <v:textbox>
              <w:txbxContent>
                <w:p w:rsidR="000346BD" w:rsidRDefault="000346BD">
                  <w:r>
                    <w:t xml:space="preserve">        2018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22" style="position:absolute;left:0;text-align:left;margin-left:153.75pt;margin-top:5.7pt;width:75.75pt;height:29.25pt;z-index:251658240" fillcolor="#f93">
            <v:textbox>
              <w:txbxContent>
                <w:p w:rsidR="000346BD" w:rsidRDefault="000346BD">
                  <w:r>
                    <w:t xml:space="preserve">        2019</w:t>
                  </w:r>
                </w:p>
              </w:txbxContent>
            </v:textbox>
          </v:shape>
        </w:pict>
      </w:r>
      <w:r w:rsidR="00B33E42" w:rsidRPr="00B33E4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3150" cy="530542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2155" w:rsidRDefault="00E12155" w:rsidP="0077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77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77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77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77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2375" w:rsidRDefault="00772375" w:rsidP="007723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Динамика налоговых и неналоговых поступлений, </w:t>
      </w:r>
    </w:p>
    <w:p w:rsidR="00772375" w:rsidRDefault="00772375" w:rsidP="007723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удельным весом в сумме доходов менее 5%</w:t>
      </w:r>
    </w:p>
    <w:p w:rsidR="00772375" w:rsidRDefault="0092451B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22" style="position:absolute;left:0;text-align:left;margin-left:216.9pt;margin-top:-1.5pt;width:41.25pt;height:29.25pt;z-index:251661312" fillcolor="#00b0f0">
            <v:textbox>
              <w:txbxContent>
                <w:p w:rsidR="000346BD" w:rsidRPr="00FE5A0A" w:rsidRDefault="000346BD">
                  <w:pPr>
                    <w:rPr>
                      <w:sz w:val="18"/>
                      <w:szCs w:val="18"/>
                    </w:rPr>
                  </w:pPr>
                  <w:r w:rsidRPr="00FE5A0A">
                    <w:rPr>
                      <w:sz w:val="18"/>
                      <w:szCs w:val="18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22" style="position:absolute;left:0;text-align:left;margin-left:124.5pt;margin-top:-1.5pt;width:41.25pt;height:29.25pt;z-index:251660288" fillcolor="#f93">
            <v:textbox>
              <w:txbxContent>
                <w:p w:rsidR="000346BD" w:rsidRPr="00FE5A0A" w:rsidRDefault="000346BD">
                  <w:pPr>
                    <w:rPr>
                      <w:sz w:val="18"/>
                      <w:szCs w:val="18"/>
                    </w:rPr>
                  </w:pPr>
                  <w:r w:rsidRPr="00FE5A0A">
                    <w:rPr>
                      <w:sz w:val="18"/>
                      <w:szCs w:val="18"/>
                    </w:rPr>
                    <w:t xml:space="preserve"> 2019</w:t>
                  </w:r>
                </w:p>
              </w:txbxContent>
            </v:textbox>
          </v:shape>
        </w:pict>
      </w:r>
      <w:r w:rsidR="00797ECE" w:rsidRPr="00797EC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339090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44B" w:rsidRDefault="007A444B" w:rsidP="002913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Межбюджетные трансферты</w:t>
      </w:r>
    </w:p>
    <w:tbl>
      <w:tblPr>
        <w:tblW w:w="10396" w:type="dxa"/>
        <w:jc w:val="center"/>
        <w:tblInd w:w="108" w:type="dxa"/>
        <w:tblLook w:val="04A0"/>
      </w:tblPr>
      <w:tblGrid>
        <w:gridCol w:w="6300"/>
        <w:gridCol w:w="1033"/>
        <w:gridCol w:w="1020"/>
        <w:gridCol w:w="1028"/>
        <w:gridCol w:w="1028"/>
      </w:tblGrid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7A444B" w:rsidRPr="007A444B" w:rsidTr="007A444B">
        <w:trPr>
          <w:trHeight w:val="435"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2018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7A444B" w:rsidRPr="007A444B" w:rsidRDefault="007A444B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58,09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63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социальные выплаты молодым семьям для приобретения (строительства)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современной городской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МФЦ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реконструкцию гидротехнических сооружений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 объектов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326,59</w:t>
            </w:r>
          </w:p>
        </w:tc>
      </w:tr>
      <w:tr w:rsidR="007A444B" w:rsidRPr="007A444B" w:rsidTr="007A444B">
        <w:trPr>
          <w:trHeight w:val="94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государственных гарантий реализации прав на получение образования детей в муниципальных  общеобразовательных организациях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163,95</w:t>
            </w:r>
          </w:p>
        </w:tc>
      </w:tr>
      <w:tr w:rsidR="007A444B" w:rsidRPr="007A444B" w:rsidTr="007A444B">
        <w:trPr>
          <w:trHeight w:val="63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бесплатным питанием детей, обучающихся в младших классах (1-4 включительно)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</w:tr>
      <w:tr w:rsidR="007A444B" w:rsidRPr="007A444B" w:rsidTr="007A444B">
        <w:trPr>
          <w:trHeight w:val="136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130,69</w:t>
            </w:r>
          </w:p>
        </w:tc>
      </w:tr>
      <w:tr w:rsidR="007A444B" w:rsidRPr="007A444B" w:rsidTr="007A444B">
        <w:trPr>
          <w:trHeight w:val="103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</w:tr>
      <w:tr w:rsidR="007A444B" w:rsidRPr="007A444B" w:rsidTr="007A444B">
        <w:trPr>
          <w:trHeight w:val="66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комиссии по делам несовершеннолетних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деятельности административной комиссии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A444B" w:rsidRPr="007A444B" w:rsidTr="007A444B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государственное управление охраной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7A444B" w:rsidRPr="007A444B" w:rsidTr="007A444B">
        <w:trPr>
          <w:trHeight w:val="90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 граждан, имеющих право на получение жилищных субсидий </w:t>
            </w:r>
            <w:proofErr w:type="gramStart"/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переселением из районов Крайнего Севера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7A444B" w:rsidRPr="007A444B" w:rsidTr="007A444B">
        <w:trPr>
          <w:trHeight w:val="63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мероприятий по предупреждению и ликвидации болезней животных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7A444B" w:rsidRPr="007A444B" w:rsidTr="007A444B">
        <w:trPr>
          <w:trHeight w:val="126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выплату компенсации части платы, взимаемой с родителей,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7A444B" w:rsidRPr="007A444B" w:rsidTr="007A444B">
        <w:trPr>
          <w:trHeight w:val="63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составление (изменение) списков кандидатов в присяжные заседатели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A444B" w:rsidRPr="007A444B" w:rsidTr="007A444B">
        <w:trPr>
          <w:trHeight w:val="63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A444B" w:rsidRPr="007A444B" w:rsidRDefault="007A444B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A444B" w:rsidRPr="007A444B" w:rsidTr="007A444B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4B" w:rsidRPr="007A444B" w:rsidRDefault="007A444B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384,68</w:t>
            </w:r>
          </w:p>
        </w:tc>
      </w:tr>
    </w:tbl>
    <w:p w:rsidR="007A444B" w:rsidRDefault="007A444B" w:rsidP="002913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2375" w:rsidRDefault="00D13E34" w:rsidP="002913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расходов бюджета</w:t>
      </w:r>
    </w:p>
    <w:tbl>
      <w:tblPr>
        <w:tblW w:w="8920" w:type="dxa"/>
        <w:jc w:val="center"/>
        <w:tblInd w:w="93" w:type="dxa"/>
        <w:shd w:val="clear" w:color="auto" w:fill="F2DBDB" w:themeFill="accent2" w:themeFillTint="33"/>
        <w:tblLook w:val="04A0"/>
      </w:tblPr>
      <w:tblGrid>
        <w:gridCol w:w="4760"/>
        <w:gridCol w:w="1033"/>
        <w:gridCol w:w="1040"/>
        <w:gridCol w:w="1040"/>
        <w:gridCol w:w="1060"/>
      </w:tblGrid>
      <w:tr w:rsidR="002913D4" w:rsidRPr="002913D4" w:rsidTr="000F0E88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</w:tr>
      <w:tr w:rsidR="002913D4" w:rsidRPr="002913D4" w:rsidTr="000F0E88">
        <w:trPr>
          <w:trHeight w:val="315"/>
          <w:jc w:val="center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Функциональное направление расходов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2018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2913D4" w:rsidRPr="002913D4" w:rsidTr="000F0E88">
        <w:trPr>
          <w:trHeight w:val="330"/>
          <w:jc w:val="center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2913D4" w:rsidRPr="002913D4" w:rsidTr="000F0E88">
        <w:trPr>
          <w:trHeight w:val="43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78,17</w:t>
            </w:r>
          </w:p>
        </w:tc>
      </w:tr>
      <w:tr w:rsidR="002913D4" w:rsidRPr="002913D4" w:rsidTr="000F0E88">
        <w:trPr>
          <w:trHeight w:val="58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 (</w:t>
            </w:r>
            <w:r w:rsidRPr="002913D4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</w:tr>
      <w:tr w:rsidR="002913D4" w:rsidRPr="002913D4" w:rsidTr="000F0E88">
        <w:trPr>
          <w:trHeight w:val="91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 (ГОЧС)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5,92</w:t>
            </w:r>
          </w:p>
        </w:tc>
      </w:tr>
      <w:tr w:rsidR="002913D4" w:rsidRPr="002913D4" w:rsidTr="000F0E88">
        <w:trPr>
          <w:trHeight w:val="37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22,14</w:t>
            </w:r>
          </w:p>
        </w:tc>
      </w:tr>
      <w:tr w:rsidR="002913D4" w:rsidRPr="002913D4" w:rsidTr="000F0E88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13,31</w:t>
            </w:r>
          </w:p>
        </w:tc>
      </w:tr>
      <w:tr w:rsidR="002913D4" w:rsidRPr="002913D4" w:rsidTr="000F0E88">
        <w:trPr>
          <w:trHeight w:val="39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575,18</w:t>
            </w:r>
          </w:p>
        </w:tc>
      </w:tr>
      <w:tr w:rsidR="002913D4" w:rsidRPr="002913D4" w:rsidTr="000F0E88">
        <w:trPr>
          <w:trHeight w:val="37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32,33</w:t>
            </w:r>
          </w:p>
        </w:tc>
      </w:tr>
      <w:tr w:rsidR="002913D4" w:rsidRPr="002913D4" w:rsidTr="000F0E88">
        <w:trPr>
          <w:trHeight w:val="3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13,08</w:t>
            </w:r>
          </w:p>
        </w:tc>
      </w:tr>
      <w:tr w:rsidR="002913D4" w:rsidRPr="002913D4" w:rsidTr="000F0E88">
        <w:trPr>
          <w:trHeight w:val="39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2,75</w:t>
            </w:r>
          </w:p>
        </w:tc>
      </w:tr>
      <w:tr w:rsidR="002913D4" w:rsidRPr="002913D4" w:rsidTr="000F0E88">
        <w:trPr>
          <w:trHeight w:val="9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4,01</w:t>
            </w:r>
          </w:p>
        </w:tc>
      </w:tr>
      <w:tr w:rsidR="002913D4" w:rsidRPr="002913D4" w:rsidTr="000F0E88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22,13</w:t>
            </w:r>
          </w:p>
        </w:tc>
      </w:tr>
      <w:tr w:rsidR="002913D4" w:rsidRPr="002913D4" w:rsidTr="000F0E88">
        <w:trPr>
          <w:trHeight w:val="375"/>
          <w:jc w:val="center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776,40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3D4" w:rsidRPr="002913D4" w:rsidRDefault="002913D4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769,03</w:t>
            </w:r>
          </w:p>
        </w:tc>
      </w:tr>
    </w:tbl>
    <w:p w:rsidR="002913D4" w:rsidRDefault="002913D4" w:rsidP="002913D4">
      <w:pPr>
        <w:rPr>
          <w:rFonts w:ascii="Times New Roman" w:hAnsi="Times New Roman" w:cs="Times New Roman"/>
          <w:sz w:val="26"/>
          <w:szCs w:val="26"/>
        </w:rPr>
      </w:pPr>
    </w:p>
    <w:p w:rsidR="00772375" w:rsidRDefault="00B26214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структура расходов 2019 год</w:t>
      </w:r>
    </w:p>
    <w:p w:rsidR="000427BD" w:rsidRDefault="00B26214" w:rsidP="00E91FBE">
      <w:pPr>
        <w:jc w:val="center"/>
        <w:rPr>
          <w:rFonts w:ascii="Times New Roman" w:hAnsi="Times New Roman" w:cs="Times New Roman"/>
          <w:sz w:val="26"/>
          <w:szCs w:val="26"/>
        </w:rPr>
      </w:pPr>
      <w:r w:rsidRPr="00B2621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4410075"/>
            <wp:effectExtent l="19050" t="0" r="1968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B03" w:rsidRDefault="005F2B03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118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Расходы на благоустройство территории городского округа </w:t>
      </w:r>
    </w:p>
    <w:p w:rsidR="00234118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 счет собственных средств бюджета, млн. руб.) </w:t>
      </w:r>
    </w:p>
    <w:p w:rsidR="00234118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11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8325" cy="3867150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4118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36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5F2B03">
        <w:rPr>
          <w:rFonts w:ascii="Times New Roman" w:hAnsi="Times New Roman" w:cs="Times New Roman"/>
          <w:sz w:val="26"/>
          <w:szCs w:val="26"/>
        </w:rPr>
        <w:t xml:space="preserve">дорожное хозяйство </w:t>
      </w:r>
    </w:p>
    <w:p w:rsidR="005F2B03" w:rsidRDefault="00234118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счет собственных средств бюджета</w:t>
      </w:r>
      <w:r w:rsidR="000C0236">
        <w:rPr>
          <w:rFonts w:ascii="Times New Roman" w:hAnsi="Times New Roman" w:cs="Times New Roman"/>
          <w:sz w:val="26"/>
          <w:szCs w:val="26"/>
        </w:rPr>
        <w:t>, млн. 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34118" w:rsidRDefault="000C0236" w:rsidP="00234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23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81625" cy="40957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2B03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Муниципальные программы</w:t>
      </w:r>
    </w:p>
    <w:tbl>
      <w:tblPr>
        <w:tblW w:w="10620" w:type="dxa"/>
        <w:tblInd w:w="93" w:type="dxa"/>
        <w:tblLook w:val="04A0"/>
      </w:tblPr>
      <w:tblGrid>
        <w:gridCol w:w="6460"/>
        <w:gridCol w:w="1040"/>
        <w:gridCol w:w="1040"/>
        <w:gridCol w:w="1040"/>
        <w:gridCol w:w="1040"/>
      </w:tblGrid>
      <w:tr w:rsidR="00DF1D28" w:rsidRPr="00DF1D28" w:rsidTr="00DF1D28">
        <w:trPr>
          <w:trHeight w:val="40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муниципальной программы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2018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DF1D28" w:rsidRPr="00DF1D28" w:rsidTr="00DF1D28">
        <w:trPr>
          <w:trHeight w:val="285"/>
        </w:trPr>
        <w:tc>
          <w:tcPr>
            <w:tcW w:w="6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F1D28" w:rsidRPr="00DF1D28" w:rsidTr="00DF1D28">
        <w:trPr>
          <w:trHeight w:val="34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Социально-культурная сфера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292,92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312,43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296,94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образования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 спорта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/сада на Матросова, 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D97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D97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D97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97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D97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ЖКХ, дорожное хозяйство, 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33,68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освещенности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F1D28" w:rsidRPr="00DF1D28" w:rsidTr="00DF1D28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DF1D28" w:rsidRPr="00DF1D28" w:rsidTr="00DF1D28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коллектора К-5  с реконструкцией коллектора К-3 и строительством дамбы от ул</w:t>
            </w:r>
            <w:proofErr w:type="gramStart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омсомольская до ул. </w:t>
            </w:r>
            <w:proofErr w:type="spellStart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Кустовиновская</w:t>
            </w:r>
            <w:proofErr w:type="spellEnd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 коллектора К-5"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из аварийного жилищного фонда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F1D28" w:rsidRPr="00DF1D28" w:rsidTr="00DF1D28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объектов водопроводно-канализационного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отрасли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</w:tr>
      <w:tr w:rsidR="00DF1D28" w:rsidRPr="00DF1D28" w:rsidTr="00DF1D28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Генплана и Правил землепользования и застройки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чрезвычайных ситуаций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DF1D28" w:rsidRPr="00DF1D28" w:rsidTr="00DF1D28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и обеспечение информационной безопасности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 мер пожарной безопасности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F1D28" w:rsidRPr="00DF1D28" w:rsidTr="00DF1D28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F1D28" w:rsidRPr="00DF1D28" w:rsidTr="00DF1D28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экстремистских проявлений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F1D28" w:rsidRPr="00DF1D28" w:rsidTr="00DF1D28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D28" w:rsidRPr="00DF1D28" w:rsidRDefault="00DF1D2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345,11</w:t>
            </w:r>
          </w:p>
        </w:tc>
      </w:tr>
    </w:tbl>
    <w:p w:rsidR="00C70CFD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D28" w:rsidRDefault="005532C5" w:rsidP="00C97E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Мероприятия, предусмотренные в бюджете на 2019 год </w:t>
      </w:r>
    </w:p>
    <w:p w:rsidR="005532C5" w:rsidRDefault="005532C5" w:rsidP="00C97E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наказов избирателей</w:t>
      </w:r>
    </w:p>
    <w:tbl>
      <w:tblPr>
        <w:tblW w:w="8740" w:type="dxa"/>
        <w:jc w:val="center"/>
        <w:tblInd w:w="93" w:type="dxa"/>
        <w:shd w:val="clear" w:color="auto" w:fill="F2DBDB" w:themeFill="accent2" w:themeFillTint="33"/>
        <w:tblLook w:val="04A0"/>
      </w:tblPr>
      <w:tblGrid>
        <w:gridCol w:w="1936"/>
        <w:gridCol w:w="6804"/>
      </w:tblGrid>
      <w:tr w:rsidR="00875B61" w:rsidRPr="00875B61" w:rsidTr="001A0246">
        <w:trPr>
          <w:trHeight w:val="96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6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наказа</w:t>
            </w: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риморская (участок от ул.Краснознаменная до ул.Приморская,11),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Снос  аварийных деревьев по ул. 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Пушкинской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Приведение в нормативное состояние   дорожного полотна  по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инейная.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Приведение в нормативное состояние   дорожного полотна  по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оммунальной.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Приведение в нормативное состояние   дорожного полотна  по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атросова, д. 8.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Приведение в нормативное состояние   дорожного полотна  по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лега Кошевого </w:t>
            </w: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12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Приведение в нормативное состояние   дорожного полотна  образовательным учреждениям – детский сад № 14 «Колокольчик» и ДЮСШ «Олимп» (филиал МБУ ДО ДЮСН «Атлант»)  между домами № 13 и № 35 по ул. 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Краснознаменной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B61" w:rsidRPr="00875B61" w:rsidTr="001A0246">
        <w:trPr>
          <w:trHeight w:val="9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Приведение в нормативное состояние   дорожного полотна  от дома № 75 по ул. 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дома № 81 пор ул. Красногвардейская.</w:t>
            </w:r>
          </w:p>
        </w:tc>
      </w:tr>
      <w:tr w:rsidR="00875B61" w:rsidRPr="00875B61" w:rsidTr="001A0246">
        <w:trPr>
          <w:trHeight w:val="6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Приведение в нормативное состояние   дорожного полотна  от дома № 87/1 по ул. 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87/3 по ул. Красногвардейская.</w:t>
            </w: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Отсыпка дорожки к школе со стороны жилых домов.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585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Приведение в нормативное состояние   дорожного полотна   по улица 1-я Рабочая, Ул. Лазаренко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Тараса Шевченко 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9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нормативное состояние   дорожного полотна  по ул. Льва Толстого, ул. Кировская, ул. Тараса Шевченко, ул. 2-ая Гражданская, ул. 3- я Гражданская.</w:t>
            </w:r>
            <w:proofErr w:type="gramEnd"/>
          </w:p>
        </w:tc>
      </w:tr>
      <w:tr w:rsidR="00875B61" w:rsidRPr="00875B61" w:rsidTr="001A0246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Ремонт тротуара по ул. Ленинская в районе новой многофункциональной  площадки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75B61" w:rsidRPr="00875B61" w:rsidTr="001A0246">
        <w:trPr>
          <w:trHeight w:val="6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Ремонт лестничных пролетов на переходе через р. Кулешовка (между ул. Уборевича и ул. 1-ая Гражданская).</w:t>
            </w:r>
          </w:p>
        </w:tc>
      </w:tr>
      <w:tr w:rsidR="00875B61" w:rsidRPr="00875B61" w:rsidTr="001A0246">
        <w:trPr>
          <w:trHeight w:val="585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Приведение в нормативное состояние   дорожного полотна   от почты в районе АТП к поликлинике – ремонт дороги.</w:t>
            </w:r>
          </w:p>
        </w:tc>
      </w:tr>
      <w:tr w:rsidR="00875B61" w:rsidRPr="00875B61" w:rsidTr="001A0246">
        <w:trPr>
          <w:trHeight w:val="253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1.Востановление  асфальтного покрытия дороги по ул. 2-я Загородная (участок дороги от ул. Советская до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билейная).</w:t>
            </w:r>
          </w:p>
        </w:tc>
      </w:tr>
      <w:tr w:rsidR="00875B61" w:rsidRPr="00875B61" w:rsidTr="001A0246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Расчистка и благоустройство территории на месте барака по ул. Парковая , 186.</w:t>
            </w: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Восстановление освещения внутри микрорайона АПТ 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Вырубка аварийных деревьев на территории микрорайона.</w:t>
            </w:r>
          </w:p>
        </w:tc>
      </w:tr>
      <w:tr w:rsidR="00875B61" w:rsidRPr="00875B61" w:rsidTr="001A0246">
        <w:trPr>
          <w:trHeight w:val="585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асфальтобетонного покрытия  дороги 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билейная (участок от ул.Юбилейная,6 до ул.Юбилейная,18/2), </w:t>
            </w:r>
          </w:p>
        </w:tc>
      </w:tr>
      <w:tr w:rsidR="00875B61" w:rsidRPr="00875B61" w:rsidTr="001A0246">
        <w:trPr>
          <w:trHeight w:val="253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9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асфальтобетонного покрытия дорог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иферная (участок от ул.Герцена до </w:t>
            </w:r>
            <w:proofErr w:type="spell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ул.Грибоедова</w:t>
            </w:r>
            <w:proofErr w:type="spell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ул.Грибоедова</w:t>
            </w:r>
            <w:proofErr w:type="spell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(участок от ул.Шиферная до пер.Безымянный), </w:t>
            </w:r>
          </w:p>
        </w:tc>
      </w:tr>
      <w:tr w:rsidR="00875B61" w:rsidRPr="00875B61" w:rsidTr="001A0246">
        <w:trPr>
          <w:trHeight w:val="360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орького (участок от ул.3-я Загородная до ул.Красногвардейская</w:t>
            </w:r>
            <w:r w:rsidRPr="00875B6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),</w:t>
            </w: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Очистка безымянного ручья по ул</w:t>
            </w:r>
            <w:proofErr w:type="gramStart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аяковского 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B61" w:rsidRPr="00875B61" w:rsidTr="001A0246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Ремонт дорог по ул. Спортивной, нарезка кюветов для стока воды.</w:t>
            </w:r>
          </w:p>
        </w:tc>
      </w:tr>
      <w:tr w:rsidR="00875B61" w:rsidRPr="00875B61" w:rsidTr="001A0246">
        <w:trPr>
          <w:trHeight w:val="315"/>
          <w:jc w:val="center"/>
        </w:trPr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5B61" w:rsidRPr="00875B61" w:rsidRDefault="00875B61" w:rsidP="0087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875B61" w:rsidRPr="00875B61" w:rsidRDefault="00875B61" w:rsidP="0087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Снос аварийных деревьев </w:t>
            </w:r>
          </w:p>
        </w:tc>
      </w:tr>
    </w:tbl>
    <w:p w:rsidR="005532C5" w:rsidRDefault="005532C5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0CFD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0CFD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B03" w:rsidRDefault="005F2B03" w:rsidP="008501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2B03" w:rsidRPr="00850182" w:rsidRDefault="005F2B03" w:rsidP="0085018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F2B03" w:rsidRPr="00850182" w:rsidSect="0013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182"/>
    <w:rsid w:val="000346BD"/>
    <w:rsid w:val="000427BD"/>
    <w:rsid w:val="00045BAC"/>
    <w:rsid w:val="000C0236"/>
    <w:rsid w:val="000D7BA1"/>
    <w:rsid w:val="000F0E88"/>
    <w:rsid w:val="00135FE9"/>
    <w:rsid w:val="00161C38"/>
    <w:rsid w:val="001A0246"/>
    <w:rsid w:val="001A0997"/>
    <w:rsid w:val="00234118"/>
    <w:rsid w:val="00282F8B"/>
    <w:rsid w:val="002913D4"/>
    <w:rsid w:val="002B5A49"/>
    <w:rsid w:val="004C0D14"/>
    <w:rsid w:val="005022C7"/>
    <w:rsid w:val="005532C5"/>
    <w:rsid w:val="005A662E"/>
    <w:rsid w:val="005F2B03"/>
    <w:rsid w:val="005F37F7"/>
    <w:rsid w:val="00612A68"/>
    <w:rsid w:val="00636A6B"/>
    <w:rsid w:val="00682E03"/>
    <w:rsid w:val="006B0E21"/>
    <w:rsid w:val="006B662E"/>
    <w:rsid w:val="00714765"/>
    <w:rsid w:val="0074065E"/>
    <w:rsid w:val="00772375"/>
    <w:rsid w:val="0078125C"/>
    <w:rsid w:val="00796366"/>
    <w:rsid w:val="00797ECE"/>
    <w:rsid w:val="007A444B"/>
    <w:rsid w:val="00850182"/>
    <w:rsid w:val="00854399"/>
    <w:rsid w:val="00875317"/>
    <w:rsid w:val="008754BC"/>
    <w:rsid w:val="00875B61"/>
    <w:rsid w:val="008A3B11"/>
    <w:rsid w:val="0092451B"/>
    <w:rsid w:val="00931B48"/>
    <w:rsid w:val="009367D6"/>
    <w:rsid w:val="00966717"/>
    <w:rsid w:val="00A02872"/>
    <w:rsid w:val="00A647C5"/>
    <w:rsid w:val="00A76EBA"/>
    <w:rsid w:val="00AA39B5"/>
    <w:rsid w:val="00AB252A"/>
    <w:rsid w:val="00B26214"/>
    <w:rsid w:val="00B278A8"/>
    <w:rsid w:val="00B27B52"/>
    <w:rsid w:val="00B33E42"/>
    <w:rsid w:val="00C00EAF"/>
    <w:rsid w:val="00C41F1F"/>
    <w:rsid w:val="00C70CFD"/>
    <w:rsid w:val="00C97E04"/>
    <w:rsid w:val="00D004BD"/>
    <w:rsid w:val="00D13247"/>
    <w:rsid w:val="00D13E34"/>
    <w:rsid w:val="00DB7BA2"/>
    <w:rsid w:val="00DF1D28"/>
    <w:rsid w:val="00DF6540"/>
    <w:rsid w:val="00E0132D"/>
    <w:rsid w:val="00E12155"/>
    <w:rsid w:val="00E91FBE"/>
    <w:rsid w:val="00ED0547"/>
    <w:rsid w:val="00EE51B6"/>
    <w:rsid w:val="00F00E5A"/>
    <w:rsid w:val="00F609F2"/>
    <w:rsid w:val="00FC1932"/>
    <w:rsid w:val="00FD2534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A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A3B1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2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52"/>
    <w:rPr>
      <w:rFonts w:ascii="Tahoma" w:hAnsi="Tahoma" w:cs="Tahoma"/>
      <w:sz w:val="16"/>
      <w:szCs w:val="16"/>
    </w:rPr>
  </w:style>
  <w:style w:type="paragraph" w:customStyle="1" w:styleId="a7">
    <w:name w:val="Стиль в законе Знак"/>
    <w:basedOn w:val="a"/>
    <w:link w:val="a8"/>
    <w:rsid w:val="00854399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Стиль в законе Знак Знак"/>
    <w:basedOn w:val="a0"/>
    <w:link w:val="a7"/>
    <w:locked/>
    <w:rsid w:val="00854399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8543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21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hyperlink" Target="http://spasskd.ru/images/stories/2018/zip/1107-2.zip" TargetMode="Externa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5;&#1088;&#1086;&#1075;&#1085;&#1086;&#1079;%20&#1057;&#1069;&#1056;%2019-24%20(&#1041;&#1044;&#1043;)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4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5;&#1088;&#1086;&#1075;&#1085;&#1086;&#1079;%20&#1057;&#1069;&#1056;%2019-24%20(&#1041;&#1044;&#1043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5;&#1088;&#1086;&#1075;&#1085;&#1086;&#1079;%20&#1057;&#1069;&#1056;%2019-24%20(&#1041;&#1044;&#1043;)%20(&#1040;&#1074;&#1090;&#1086;&#1089;&#1086;&#1093;&#1088;&#1072;&#1085;&#1077;&#1085;&#1085;&#1099;&#1081;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5;&#1088;&#1086;&#1075;&#1085;&#1086;&#1079;%20&#1057;&#1069;&#1056;%2019-24%20(&#1041;&#1044;&#1043;)%20(&#1040;&#1074;&#1090;&#1086;&#1089;&#1086;&#1093;&#1088;&#1072;&#1085;&#1077;&#1085;&#1085;&#1099;&#1081;)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5;&#1088;&#1086;&#1075;&#1085;&#1086;&#1079;%20&#1057;&#1069;&#1056;%2019-24%20(&#1041;&#1044;&#1043;)%20(&#1040;&#1074;&#1090;&#1086;&#1089;&#1086;&#1093;&#1088;&#1072;&#1085;&#1077;&#1085;&#1085;&#1099;&#1081;).xls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w%20Folder\&#1044;&#1084;&#1080;&#1090;&#1088;&#1080;&#1081;\&#1044;&#1084;&#1090;&#1088;\&#1041;&#1102;&#1076;&#1078;&#1077;&#1090;%20&#1076;&#1083;&#1103;%20&#1075;&#1088;&#1072;&#1078;&#1076;&#1072;&#1085;\&#1054;&#1073;&#1097;&#1080;&#1077;%20&#1087;&#1072;&#1088;&#1072;&#1084;&#1077;&#1090;&#1088;&#1099;.xlsx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'форма 2п new (2)'!$A$11</c:f>
              <c:strCache>
                <c:ptCount val="1"/>
                <c:pt idx="0">
                  <c:v>Объем отгруженной продукции (работ. услуг) </c:v>
                </c:pt>
              </c:strCache>
            </c:strRef>
          </c:tx>
          <c:marker>
            <c:symbol val="triangle"/>
            <c:size val="14"/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5.4524087894117943E-3"/>
                  <c:y val="3.35018041018276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931,84</a:t>
                    </a:r>
                    <a:r>
                      <a:rPr lang="ru-RU"/>
                      <a:t> млн.р.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8.1786131841176477E-3"/>
                  <c:y val="3.35018041018276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988,32</a:t>
                    </a:r>
                    <a:r>
                      <a:rPr lang="ru-RU"/>
                      <a:t> млн.р.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8.1786131841176477E-3"/>
                  <c:y val="3.1407941345463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1048,2</a:t>
                    </a:r>
                    <a:r>
                      <a:rPr lang="ru-RU" baseline="0"/>
                      <a:t> млн.р.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367018203125066E-2"/>
                  <c:y val="4.7260821154489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1102,</a:t>
                    </a:r>
                    <a:r>
                      <a:rPr lang="ru-RU"/>
                      <a:t>5</a:t>
                    </a:r>
                    <a:r>
                      <a:rPr lang="ru-RU" baseline="0"/>
                      <a:t> млн.р.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2.8898751161110538E-2"/>
                  <c:y val="4.941431702774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1149,2</a:t>
                    </a:r>
                    <a:r>
                      <a:rPr lang="ru-RU" baseline="0"/>
                      <a:t> млн.р.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2.1692429843730567E-2"/>
                  <c:y val="3.3323014394919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1197,1</a:t>
                    </a:r>
                    <a:r>
                      <a:rPr lang="ru-RU"/>
                      <a:t> млн.р.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'форма 2п new (2)'!$C$7:$H$9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 (2)'!$C$11:$H$11</c:f>
              <c:numCache>
                <c:formatCode>General</c:formatCode>
                <c:ptCount val="6"/>
                <c:pt idx="0">
                  <c:v>931.83999999999946</c:v>
                </c:pt>
                <c:pt idx="1">
                  <c:v>988.31999999999948</c:v>
                </c:pt>
                <c:pt idx="2">
                  <c:v>1048.2080000000001</c:v>
                </c:pt>
                <c:pt idx="3">
                  <c:v>1102.4770000000001</c:v>
                </c:pt>
                <c:pt idx="4">
                  <c:v>1149.22</c:v>
                </c:pt>
                <c:pt idx="5">
                  <c:v>1197.1099999999999</c:v>
                </c:pt>
              </c:numCache>
            </c:numRef>
          </c:val>
        </c:ser>
        <c:ser>
          <c:idx val="1"/>
          <c:order val="1"/>
          <c:tx>
            <c:strRef>
              <c:f>'форма 2п new (2)'!$A$12</c:f>
              <c:strCache>
                <c:ptCount val="1"/>
                <c:pt idx="0">
                  <c:v>Индекс промышленного производства (% к предыдущему году в сопоставимых ценах)</c:v>
                </c:pt>
              </c:strCache>
            </c:strRef>
          </c:tx>
          <c:marker>
            <c:symbol val="square"/>
            <c:size val="11"/>
            <c:spPr>
              <a:solidFill>
                <a:srgbClr val="FF0000"/>
              </a:solidFill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61,94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98,34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101,82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101,13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Val val="1"/>
            </c:dLbl>
            <c:dLblPos val="t"/>
            <c:showVal val="1"/>
          </c:dLbls>
          <c:cat>
            <c:strRef>
              <c:f>'форма 2п new (2)'!$C$7:$H$9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 (2)'!$C$12:$H$12</c:f>
              <c:numCache>
                <c:formatCode>General</c:formatCode>
                <c:ptCount val="6"/>
                <c:pt idx="0">
                  <c:v>61.94</c:v>
                </c:pt>
                <c:pt idx="1">
                  <c:v>98.34</c:v>
                </c:pt>
                <c:pt idx="2">
                  <c:v>97.3</c:v>
                </c:pt>
                <c:pt idx="3">
                  <c:v>101.82</c:v>
                </c:pt>
                <c:pt idx="4">
                  <c:v>101.3</c:v>
                </c:pt>
                <c:pt idx="5">
                  <c:v>101.13</c:v>
                </c:pt>
              </c:numCache>
            </c:numRef>
          </c:val>
        </c:ser>
        <c:marker val="1"/>
        <c:axId val="95955968"/>
        <c:axId val="95978240"/>
      </c:lineChart>
      <c:catAx>
        <c:axId val="95955968"/>
        <c:scaling>
          <c:orientation val="minMax"/>
        </c:scaling>
        <c:axPos val="b"/>
        <c:majorTickMark val="none"/>
        <c:tickLblPos val="nextTo"/>
        <c:crossAx val="95978240"/>
        <c:crosses val="autoZero"/>
        <c:auto val="1"/>
        <c:lblAlgn val="ctr"/>
        <c:lblOffset val="100"/>
      </c:catAx>
      <c:valAx>
        <c:axId val="959782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5955968"/>
        <c:crosses val="autoZero"/>
        <c:crossBetween val="between"/>
      </c:valAx>
      <c:spPr>
        <a:gradFill flip="none" rotWithShape="1">
          <a:gsLst>
            <a:gs pos="0">
              <a:srgbClr val="9BBB59">
                <a:lumMod val="60000"/>
                <a:lumOff val="40000"/>
              </a:srgbClr>
            </a:gs>
            <a:gs pos="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ln w="34925">
          <a:solidFill>
            <a:schemeClr val="accent1"/>
          </a:solidFill>
          <a:round/>
        </a:ln>
      </c:spPr>
    </c:plotArea>
    <c:legend>
      <c:legendPos val="b"/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472972205702221"/>
          <c:y val="0.11484655860466295"/>
          <c:w val="0.53963573830713263"/>
          <c:h val="0.82893503996887485"/>
        </c:manualLayout>
      </c:layout>
      <c:pie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0.1926883558999857"/>
                  <c:y val="1.505461925250704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4289489745250541"/>
                  <c:y val="3.278356944042908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676824030498096"/>
                  <c:y val="0.1048741801443285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231341979661975"/>
                  <c:y val="0.19150218533698421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6888044970227646E-2"/>
                  <c:y val="4.275709596775573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2456320707873149"/>
                  <c:y val="-3.66077674415968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3.8812583146891964E-3"/>
                  <c:y val="-2.760928102129785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3966109794124842"/>
                  <c:y val="1.1017272948872751E-2"/>
                </c:manualLayout>
              </c:layout>
              <c:showCatName val="1"/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CatName val="1"/>
            <c:showPercent val="1"/>
            <c:showLeaderLines val="1"/>
          </c:dLbls>
          <c:cat>
            <c:strRef>
              <c:f>'Лист1 (3)'!$A$17:$A$25</c:f>
              <c:strCache>
                <c:ptCount val="9"/>
                <c:pt idx="0">
                  <c:v>Общегосударственные вопросы</c:v>
                </c:pt>
                <c:pt idx="1">
                  <c:v>Безопасность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Соцполитика</c:v>
                </c:pt>
                <c:pt idx="7">
                  <c:v>Спорт</c:v>
                </c:pt>
                <c:pt idx="8">
                  <c:v>Обслуживание мун. долга</c:v>
                </c:pt>
              </c:strCache>
            </c:strRef>
          </c:cat>
          <c:val>
            <c:numRef>
              <c:f>'Лист1 (3)'!$F$4:$N$4</c:f>
              <c:numCache>
                <c:formatCode>General</c:formatCode>
                <c:ptCount val="9"/>
                <c:pt idx="0">
                  <c:v>99.72</c:v>
                </c:pt>
                <c:pt idx="1">
                  <c:v>6.83</c:v>
                </c:pt>
                <c:pt idx="2">
                  <c:v>19.84</c:v>
                </c:pt>
                <c:pt idx="3">
                  <c:v>20.25</c:v>
                </c:pt>
                <c:pt idx="4">
                  <c:v>651.05999999999949</c:v>
                </c:pt>
                <c:pt idx="5">
                  <c:v>37.480000000000004</c:v>
                </c:pt>
                <c:pt idx="6">
                  <c:v>14.38</c:v>
                </c:pt>
                <c:pt idx="7">
                  <c:v>3.4</c:v>
                </c:pt>
                <c:pt idx="8">
                  <c:v>17.39</c:v>
                </c:pt>
              </c:numCache>
            </c:numRef>
          </c:val>
        </c:ser>
        <c:firstSliceAng val="0"/>
      </c:pie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50"/>
      <c:rAngAx val="1"/>
    </c:view3D>
    <c:plotArea>
      <c:layout>
        <c:manualLayout>
          <c:layoutTarget val="inner"/>
          <c:xMode val="edge"/>
          <c:yMode val="edge"/>
          <c:x val="6.8388593078479012E-2"/>
          <c:y val="5.1400554097404488E-2"/>
          <c:w val="0.71038706165102039"/>
          <c:h val="0.79822506561679785"/>
        </c:manualLayout>
      </c:layout>
      <c:bar3DChart>
        <c:barDir val="col"/>
        <c:grouping val="stacked"/>
        <c:ser>
          <c:idx val="0"/>
          <c:order val="0"/>
          <c:tx>
            <c:strRef>
              <c:f>'Лист1 (3)'!$A$28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(3)'!$B$28:$E$28</c:f>
              <c:numCache>
                <c:formatCode>General</c:formatCode>
                <c:ptCount val="4"/>
                <c:pt idx="0">
                  <c:v>4.6399999999999997</c:v>
                </c:pt>
                <c:pt idx="1">
                  <c:v>3.9</c:v>
                </c:pt>
                <c:pt idx="2">
                  <c:v>3.7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'Лист1 (3)'!$A$29</c:f>
              <c:strCache>
                <c:ptCount val="1"/>
                <c:pt idx="0">
                  <c:v>Озеленение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(3)'!$B$29:$E$29</c:f>
              <c:numCache>
                <c:formatCode>General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'Лист1 (3)'!$A$30</c:f>
              <c:strCache>
                <c:ptCount val="1"/>
                <c:pt idx="0">
                  <c:v>Улучшение освещённости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(3)'!$B$30:$E$30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'Лист1 (3)'!$A$31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dLbls>
            <c:dLbl>
              <c:idx val="1"/>
              <c:layout>
                <c:manualLayout>
                  <c:x val="7.195053400786959E-2"/>
                  <c:y val="-4.9261083743842422E-2"/>
                </c:manualLayout>
              </c:layout>
              <c:showVal val="1"/>
            </c:dLbl>
            <c:dLbl>
              <c:idx val="2"/>
              <c:layout>
                <c:manualLayout>
                  <c:x val="6.9702079820123872E-2"/>
                  <c:y val="-5.5829228243021424E-2"/>
                </c:manualLayout>
              </c:layout>
              <c:showVal val="1"/>
            </c:dLbl>
            <c:dLbl>
              <c:idx val="3"/>
              <c:layout>
                <c:manualLayout>
                  <c:x val="7.4198988195615531E-2"/>
                  <c:y val="-4.926108374384242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(3)'!$B$31:$E$31</c:f>
              <c:numCache>
                <c:formatCode>General</c:formatCode>
                <c:ptCount val="4"/>
                <c:pt idx="0">
                  <c:v>1.37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hape val="box"/>
        <c:axId val="142208384"/>
        <c:axId val="106693760"/>
        <c:axId val="0"/>
      </c:bar3DChart>
      <c:catAx>
        <c:axId val="142208384"/>
        <c:scaling>
          <c:orientation val="minMax"/>
        </c:scaling>
        <c:axPos val="b"/>
        <c:numFmt formatCode="General" sourceLinked="1"/>
        <c:tickLblPos val="nextTo"/>
        <c:crossAx val="106693760"/>
        <c:crosses val="autoZero"/>
        <c:auto val="1"/>
        <c:lblAlgn val="ctr"/>
        <c:lblOffset val="100"/>
      </c:catAx>
      <c:valAx>
        <c:axId val="106693760"/>
        <c:scaling>
          <c:orientation val="minMax"/>
        </c:scaling>
        <c:axPos val="l"/>
        <c:majorGridlines/>
        <c:numFmt formatCode="General" sourceLinked="1"/>
        <c:tickLblPos val="nextTo"/>
        <c:crossAx val="14220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76947148048448"/>
          <c:y val="3.5501603966170969E-2"/>
          <c:w val="0.19873980339304129"/>
          <c:h val="0.90584864391951125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70"/>
      <c:rAngAx val="1"/>
    </c:view3D>
    <c:plotArea>
      <c:layout>
        <c:manualLayout>
          <c:layoutTarget val="inner"/>
          <c:xMode val="edge"/>
          <c:yMode val="edge"/>
          <c:x val="7.1777762292987712E-2"/>
          <c:y val="3.4426417628029109E-2"/>
          <c:w val="0.72972197059438537"/>
          <c:h val="0.86485771836660053"/>
        </c:manualLayout>
      </c:layout>
      <c:bar3DChart>
        <c:barDir val="col"/>
        <c:grouping val="stacked"/>
        <c:ser>
          <c:idx val="0"/>
          <c:order val="0"/>
          <c:tx>
            <c:strRef>
              <c:f>'Лист1 (3)'!$A$32</c:f>
              <c:strCache>
                <c:ptCount val="1"/>
                <c:pt idx="0">
                  <c:v>Капитальный ремонт автодорог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(3)'!$B$32:$E$32</c:f>
              <c:numCache>
                <c:formatCode>General</c:formatCode>
                <c:ptCount val="4"/>
                <c:pt idx="0">
                  <c:v>5.6599999999999975</c:v>
                </c:pt>
                <c:pt idx="1">
                  <c:v>5.6</c:v>
                </c:pt>
                <c:pt idx="2">
                  <c:v>5.6</c:v>
                </c:pt>
                <c:pt idx="3">
                  <c:v>5.6</c:v>
                </c:pt>
              </c:numCache>
            </c:numRef>
          </c:val>
        </c:ser>
        <c:ser>
          <c:idx val="1"/>
          <c:order val="1"/>
          <c:tx>
            <c:strRef>
              <c:f>'Лист1 (3)'!$A$33</c:f>
              <c:strCache>
                <c:ptCount val="1"/>
                <c:pt idx="0">
                  <c:v>Содержание автодорог</c:v>
                </c:pt>
              </c:strCache>
            </c:strRef>
          </c:tx>
          <c:spPr>
            <a:solidFill>
              <a:srgbClr val="FF6600"/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(3)'!$B$34:$E$34</c:f>
              <c:numCache>
                <c:formatCode>General</c:formatCode>
                <c:ptCount val="4"/>
                <c:pt idx="0">
                  <c:v>13.88</c:v>
                </c:pt>
                <c:pt idx="1">
                  <c:v>8.129999999999999</c:v>
                </c:pt>
                <c:pt idx="2">
                  <c:v>5.9</c:v>
                </c:pt>
                <c:pt idx="3">
                  <c:v>6.17</c:v>
                </c:pt>
              </c:numCache>
            </c:numRef>
          </c:val>
        </c:ser>
        <c:ser>
          <c:idx val="2"/>
          <c:order val="2"/>
          <c:tx>
            <c:strRef>
              <c:f>'Лист1 (3)'!$A$36</c:f>
              <c:strCache>
                <c:ptCount val="1"/>
                <c:pt idx="0">
                  <c:v>Пешеходные переходы</c:v>
                </c:pt>
              </c:strCache>
            </c:strRef>
          </c:tx>
          <c:spPr>
            <a:solidFill>
              <a:srgbClr val="00EE6C"/>
            </a:solidFill>
          </c:spPr>
          <c:dLbls>
            <c:dLbl>
              <c:idx val="0"/>
              <c:delete val="1"/>
            </c:dLbl>
            <c:spPr>
              <a:solidFill>
                <a:schemeClr val="bg1"/>
              </a:solidFill>
              <a:ln>
                <a:noFill/>
              </a:ln>
            </c:spPr>
            <c:showVal val="1"/>
          </c:dLbls>
          <c:cat>
            <c:numRef>
              <c:f>'Лист1 (3)'!$B$26:$E$26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'Лист1 (3)'!$B$36:$E$36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104"/>
        <c:gapDepth val="114"/>
        <c:shape val="box"/>
        <c:axId val="106712448"/>
        <c:axId val="106726528"/>
        <c:axId val="0"/>
      </c:bar3DChart>
      <c:catAx>
        <c:axId val="106712448"/>
        <c:scaling>
          <c:orientation val="minMax"/>
        </c:scaling>
        <c:axPos val="b"/>
        <c:numFmt formatCode="General" sourceLinked="1"/>
        <c:tickLblPos val="nextTo"/>
        <c:crossAx val="106726528"/>
        <c:crosses val="autoZero"/>
        <c:auto val="1"/>
        <c:lblAlgn val="ctr"/>
        <c:lblOffset val="100"/>
      </c:catAx>
      <c:valAx>
        <c:axId val="106726528"/>
        <c:scaling>
          <c:orientation val="minMax"/>
        </c:scaling>
        <c:axPos val="l"/>
        <c:majorGridlines/>
        <c:numFmt formatCode="General" sourceLinked="1"/>
        <c:tickLblPos val="nextTo"/>
        <c:crossAx val="10671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65902492276954"/>
          <c:y val="0.21705817005432487"/>
          <c:w val="0.1701816830418322"/>
          <c:h val="0.4232480009766223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Количество малых и средних предприятий, включая микропредприятия (единиц на конец года)</a:t>
            </a:r>
          </a:p>
        </c:rich>
      </c:tx>
      <c:layout>
        <c:manualLayout>
          <c:xMode val="edge"/>
          <c:yMode val="edge"/>
          <c:x val="0.12904836477440582"/>
          <c:y val="9.4829532625875027E-2"/>
        </c:manualLayout>
      </c:layout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'форма 2п new'!$A$19</c:f>
              <c:strCache>
                <c:ptCount val="1"/>
                <c:pt idx="0">
                  <c:v>Количество малых и средних предприятий, включая микропредприятия (на конец года)</c:v>
                </c:pt>
              </c:strCache>
            </c:strRef>
          </c:tx>
          <c:spPr>
            <a:solidFill>
              <a:srgbClr val="00B050"/>
            </a:solidFill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Lbls>
            <c:dLbl>
              <c:idx val="0"/>
              <c:layout>
                <c:manualLayout>
                  <c:x val="2.7262043947058842E-3"/>
                  <c:y val="0.18425992256005241"/>
                </c:manualLayout>
              </c:layout>
              <c:showVal val="1"/>
            </c:dLbl>
            <c:dLbl>
              <c:idx val="1"/>
              <c:layout>
                <c:manualLayout>
                  <c:x val="6.8155109867647093E-3"/>
                  <c:y val="0.18425992256005241"/>
                </c:manualLayout>
              </c:layout>
              <c:showVal val="1"/>
            </c:dLbl>
            <c:dLbl>
              <c:idx val="2"/>
              <c:layout>
                <c:manualLayout>
                  <c:x val="6.8155109867647093E-3"/>
                  <c:y val="0.14866409083077767"/>
                </c:manualLayout>
              </c:layout>
              <c:showVal val="1"/>
            </c:dLbl>
            <c:dLbl>
              <c:idx val="3"/>
              <c:layout>
                <c:manualLayout>
                  <c:x val="1.3631021973529421E-3"/>
                  <c:y val="0.14028880467640398"/>
                </c:manualLayout>
              </c:layout>
              <c:showVal val="1"/>
            </c:dLbl>
            <c:dLbl>
              <c:idx val="4"/>
              <c:layout>
                <c:manualLayout>
                  <c:x val="5.4524087894117917E-3"/>
                  <c:y val="0.12981949089458275"/>
                </c:manualLayout>
              </c:layout>
              <c:showVal val="1"/>
            </c:dLbl>
            <c:dLbl>
              <c:idx val="5"/>
              <c:layout>
                <c:manualLayout>
                  <c:x val="1.3631021973528421E-3"/>
                  <c:y val="0.10259927506184729"/>
                </c:manualLayout>
              </c:layout>
              <c:showVal val="1"/>
            </c:dLbl>
            <c:numFmt formatCode="General" sourceLinked="0"/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powder">
                <a:bevelT w="25400" h="120650"/>
              </a:sp3d>
            </c:spPr>
            <c:txPr>
              <a:bodyPr/>
              <a:lstStyle/>
              <a:p>
                <a:pPr>
                  <a:defRPr sz="1600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'форма 2п new'!$C$7:$H$9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new'!$C$19:$H$19</c:f>
              <c:numCache>
                <c:formatCode>General</c:formatCode>
                <c:ptCount val="6"/>
                <c:pt idx="0">
                  <c:v>277</c:v>
                </c:pt>
                <c:pt idx="1">
                  <c:v>302</c:v>
                </c:pt>
                <c:pt idx="2">
                  <c:v>305</c:v>
                </c:pt>
                <c:pt idx="3">
                  <c:v>317</c:v>
                </c:pt>
                <c:pt idx="4">
                  <c:v>327</c:v>
                </c:pt>
                <c:pt idx="5">
                  <c:v>337</c:v>
                </c:pt>
              </c:numCache>
            </c:numRef>
          </c:val>
        </c:ser>
        <c:gapWidth val="40"/>
        <c:gapDepth val="9"/>
        <c:shape val="box"/>
        <c:axId val="96270592"/>
        <c:axId val="96604544"/>
        <c:axId val="0"/>
      </c:bar3DChart>
      <c:catAx>
        <c:axId val="96270592"/>
        <c:scaling>
          <c:orientation val="minMax"/>
        </c:scaling>
        <c:axPos val="b"/>
        <c:tickLblPos val="nextTo"/>
        <c:crossAx val="96604544"/>
        <c:crosses val="autoZero"/>
        <c:auto val="1"/>
        <c:lblAlgn val="ctr"/>
        <c:lblOffset val="100"/>
      </c:catAx>
      <c:valAx>
        <c:axId val="96604544"/>
        <c:scaling>
          <c:orientation val="minMax"/>
          <c:min val="100"/>
        </c:scaling>
        <c:delete val="1"/>
        <c:axPos val="l"/>
        <c:numFmt formatCode="General" sourceLinked="1"/>
        <c:tickLblPos val="nextTo"/>
        <c:crossAx val="96270592"/>
        <c:crosses val="autoZero"/>
        <c:crossBetween val="between"/>
        <c:majorUnit val="100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0" i="0" baseline="0">
                <a:latin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</a:rPr>
              <a:t>Оборот малых и средних предприятий, включая микропредприятия</a:t>
            </a:r>
          </a:p>
          <a:p>
            <a:pPr>
              <a:defRPr sz="1300" b="0" i="0" baseline="0">
                <a:latin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</a:rPr>
              <a:t>(млрд. руб.)</a:t>
            </a:r>
          </a:p>
        </c:rich>
      </c:tx>
    </c:title>
    <c:view3D>
      <c:rotX val="10"/>
      <c:rotY val="0"/>
      <c:perspective val="0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4.4860873954584067E-2"/>
          <c:y val="0.10467747506530962"/>
          <c:w val="0.94014500187453465"/>
          <c:h val="0.72194635245062633"/>
        </c:manualLayout>
      </c:layout>
      <c:bar3DChart>
        <c:barDir val="col"/>
        <c:grouping val="clustered"/>
        <c:ser>
          <c:idx val="0"/>
          <c:order val="0"/>
          <c:tx>
            <c:strRef>
              <c:f>'форма 2п new'!$A$20</c:f>
              <c:strCache>
                <c:ptCount val="1"/>
                <c:pt idx="0">
                  <c:v>Оборот малых и средних предприятий, включая микропредприятия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0.15075811845822529"/>
                </c:manualLayout>
              </c:layout>
              <c:showVal val="1"/>
            </c:dLbl>
            <c:dLbl>
              <c:idx val="1"/>
              <c:layout>
                <c:manualLayout>
                  <c:x val="1.3631021973529421E-3"/>
                  <c:y val="0.15703970672731793"/>
                </c:manualLayout>
              </c:layout>
              <c:showVal val="1"/>
            </c:dLbl>
            <c:dLbl>
              <c:idx val="2"/>
              <c:layout>
                <c:manualLayout>
                  <c:x val="1.3631021973529421E-3"/>
                  <c:y val="0.16541515775277496"/>
                </c:manualLayout>
              </c:layout>
              <c:showVal val="1"/>
            </c:dLbl>
            <c:dLbl>
              <c:idx val="3"/>
              <c:layout>
                <c:manualLayout>
                  <c:x val="2.7262043947058842E-3"/>
                  <c:y val="0.16960288326550263"/>
                </c:manualLayout>
              </c:layout>
              <c:showVal val="1"/>
            </c:dLbl>
            <c:dLbl>
              <c:idx val="4"/>
              <c:layout>
                <c:manualLayout>
                  <c:x val="4.089306592058849E-3"/>
                  <c:y val="0.15703970672731798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13610107916367487"/>
                </c:manualLayout>
              </c:layout>
              <c:showVal val="1"/>
            </c:dLbl>
            <c:spPr>
              <a:solidFill>
                <a:schemeClr val="bg1"/>
              </a:solidFill>
              <a:ln cap="rnd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'форма 2п new'!$C$7:$H$9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new'!$C$20:$H$20</c:f>
              <c:numCache>
                <c:formatCode>General</c:formatCode>
                <c:ptCount val="6"/>
                <c:pt idx="0">
                  <c:v>2.7319999999999998</c:v>
                </c:pt>
                <c:pt idx="1">
                  <c:v>2.8439999999999999</c:v>
                </c:pt>
                <c:pt idx="2">
                  <c:v>3.0939999999999999</c:v>
                </c:pt>
                <c:pt idx="3">
                  <c:v>3.2749999999999999</c:v>
                </c:pt>
                <c:pt idx="4">
                  <c:v>3.448</c:v>
                </c:pt>
                <c:pt idx="5">
                  <c:v>3.6359999999999997</c:v>
                </c:pt>
              </c:numCache>
            </c:numRef>
          </c:val>
        </c:ser>
        <c:gapWidth val="6"/>
        <c:gapDepth val="0"/>
        <c:shape val="cylinder"/>
        <c:axId val="97270016"/>
        <c:axId val="97301632"/>
        <c:axId val="0"/>
      </c:bar3DChart>
      <c:catAx>
        <c:axId val="97270016"/>
        <c:scaling>
          <c:orientation val="minMax"/>
        </c:scaling>
        <c:axPos val="b"/>
        <c:tickLblPos val="nextTo"/>
        <c:spPr>
          <a:ln>
            <a:noFill/>
          </a:ln>
        </c:spPr>
        <c:crossAx val="97301632"/>
        <c:crosses val="autoZero"/>
        <c:auto val="1"/>
        <c:lblAlgn val="ctr"/>
        <c:lblOffset val="100"/>
      </c:catAx>
      <c:valAx>
        <c:axId val="97301632"/>
        <c:scaling>
          <c:orientation val="minMax"/>
        </c:scaling>
        <c:delete val="1"/>
        <c:axPos val="l"/>
        <c:numFmt formatCode="General" sourceLinked="1"/>
        <c:tickLblPos val="nextTo"/>
        <c:crossAx val="972700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 algn="ctr">
              <a:defRPr/>
            </a:pPr>
            <a:r>
              <a:rPr lang="ru-RU" sz="1200" b="0" i="0" baseline="0">
                <a:latin typeface="Times New Roman" pitchFamily="18" charset="0"/>
              </a:rPr>
              <a:t>Объем платных услуг населению  (млн. руб.)</a:t>
            </a:r>
          </a:p>
        </c:rich>
      </c:tx>
    </c:title>
    <c:view3D>
      <c:rotX val="3"/>
      <c:rotY val="0"/>
      <c:depthPercent val="260"/>
      <c:perspective val="10"/>
    </c:view3D>
    <c:floor>
      <c:spPr>
        <a:solidFill>
          <a:schemeClr val="tx2">
            <a:lumMod val="20000"/>
            <a:lumOff val="80000"/>
          </a:schemeClr>
        </a:solidFill>
      </c:spPr>
    </c:floor>
    <c:plotArea>
      <c:layout>
        <c:manualLayout>
          <c:layoutTarget val="inner"/>
          <c:xMode val="edge"/>
          <c:yMode val="edge"/>
          <c:x val="1.4994124170882361E-2"/>
          <c:y val="7.0772561165110964E-2"/>
          <c:w val="0.97001175165823561"/>
          <c:h val="0.74862297142434664"/>
        </c:manualLayout>
      </c:layout>
      <c:bar3DChart>
        <c:barDir val="col"/>
        <c:grouping val="clustered"/>
        <c:ser>
          <c:idx val="0"/>
          <c:order val="0"/>
          <c:tx>
            <c:strRef>
              <c:f>'форма 2п new (2)'!$A$16</c:f>
              <c:strCache>
                <c:ptCount val="1"/>
                <c:pt idx="0">
                  <c:v>Объем платных услуг населению</c:v>
                </c:pt>
              </c:strCache>
            </c:strRef>
          </c:tx>
          <c:dLbls>
            <c:dLbl>
              <c:idx val="0"/>
              <c:layout>
                <c:manualLayout>
                  <c:x val="2.7262043947058842E-3"/>
                  <c:y val="0.13400721640731125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447653018913248"/>
                </c:manualLayout>
              </c:layout>
              <c:showVal val="1"/>
            </c:dLbl>
            <c:dLbl>
              <c:idx val="2"/>
              <c:layout>
                <c:manualLayout>
                  <c:x val="1.3631021973529421E-3"/>
                  <c:y val="0.1423826674327677"/>
                </c:manualLayout>
              </c:layout>
              <c:showVal val="1"/>
            </c:dLbl>
            <c:dLbl>
              <c:idx val="3"/>
              <c:layout>
                <c:manualLayout>
                  <c:x val="1.3631021973529421E-3"/>
                  <c:y val="0.1423826674327677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730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0.12981949089458281"/>
                </c:manualLayout>
              </c:layout>
              <c:showVal val="1"/>
            </c:dLbl>
            <c:dLbl>
              <c:idx val="5"/>
              <c:layout>
                <c:manualLayout>
                  <c:x val="1.3631021973529421E-3"/>
                  <c:y val="0.12353790262548962"/>
                </c:manualLayout>
              </c:layout>
              <c:showVal val="1"/>
            </c:dLbl>
            <c:spPr>
              <a:solidFill>
                <a:schemeClr val="bg1"/>
              </a:solidFill>
              <a:ln cap="rnd"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'форма 2п new (2)'!$C$7:$H$9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 (2)'!$C$16:$H$16</c:f>
              <c:numCache>
                <c:formatCode>General</c:formatCode>
                <c:ptCount val="6"/>
                <c:pt idx="0">
                  <c:v>645</c:v>
                </c:pt>
                <c:pt idx="1">
                  <c:v>699</c:v>
                </c:pt>
                <c:pt idx="2">
                  <c:v>690</c:v>
                </c:pt>
                <c:pt idx="3">
                  <c:v>730.35119999999745</c:v>
                </c:pt>
                <c:pt idx="4">
                  <c:v>761</c:v>
                </c:pt>
                <c:pt idx="5">
                  <c:v>801.7</c:v>
                </c:pt>
              </c:numCache>
            </c:numRef>
          </c:val>
        </c:ser>
        <c:gapWidth val="68"/>
        <c:gapDepth val="167"/>
        <c:shape val="box"/>
        <c:axId val="97949952"/>
        <c:axId val="97965568"/>
        <c:axId val="0"/>
      </c:bar3DChart>
      <c:catAx>
        <c:axId val="97949952"/>
        <c:scaling>
          <c:orientation val="minMax"/>
        </c:scaling>
        <c:axPos val="b"/>
        <c:tickLblPos val="nextTo"/>
        <c:crossAx val="97965568"/>
        <c:crosses val="autoZero"/>
        <c:auto val="1"/>
        <c:lblAlgn val="ctr"/>
        <c:lblOffset val="100"/>
      </c:catAx>
      <c:valAx>
        <c:axId val="97965568"/>
        <c:scaling>
          <c:orientation val="minMax"/>
        </c:scaling>
        <c:delete val="1"/>
        <c:axPos val="l"/>
        <c:numFmt formatCode="General" sourceLinked="1"/>
        <c:tickLblPos val="nextTo"/>
        <c:crossAx val="97949952"/>
        <c:crosses val="autoZero"/>
        <c:crossBetween val="between"/>
      </c:valAx>
    </c:plotArea>
    <c:plotVisOnly val="1"/>
  </c:chart>
  <c:spPr>
    <a:ln w="41275" cap="rnd">
      <a:solidFill>
        <a:srgbClr val="00B0F0"/>
      </a:solidFill>
    </a:ln>
    <a:effectLst>
      <a:outerShdw blurRad="50800" dist="50800" dir="5400000" algn="ctr" rotWithShape="0">
        <a:srgbClr val="1F497D">
          <a:lumMod val="40000"/>
          <a:lumOff val="60000"/>
          <a:alpha val="99000"/>
        </a:srgbClr>
      </a:out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spPr>
            <a:ln w="53975">
              <a:solidFill>
                <a:srgbClr val="FF0000"/>
              </a:solidFill>
            </a:ln>
          </c:spPr>
          <c:marker>
            <c:symbol val="diamond"/>
            <c:size val="15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6.1925895345237084E-3"/>
                  <c:y val="2.9629629629629697E-2"/>
                </c:manualLayout>
              </c:layout>
              <c:showVal val="1"/>
            </c:dLbl>
            <c:dLbl>
              <c:idx val="1"/>
              <c:layout>
                <c:manualLayout>
                  <c:x val="6.1925895345236884E-3"/>
                  <c:y val="2.9629629629629634E-2"/>
                </c:manualLayout>
              </c:layout>
              <c:showVal val="1"/>
            </c:dLbl>
            <c:dLbl>
              <c:idx val="3"/>
              <c:layout>
                <c:manualLayout>
                  <c:x val="-8.1786131841176477E-3"/>
                  <c:y val="3.1407941345463611E-2"/>
                </c:manualLayout>
              </c:layout>
              <c:showVal val="1"/>
            </c:dLbl>
            <c:dLbl>
              <c:idx val="5"/>
              <c:layout>
                <c:manualLayout>
                  <c:x val="-1.3631021973529421E-3"/>
                  <c:y val="2.0938627563642297E-2"/>
                </c:manualLayout>
              </c:layout>
              <c:showVal val="1"/>
            </c:dLbl>
            <c:showVal val="1"/>
          </c:dLbls>
          <c:cat>
            <c:strRef>
              <c:f>'форма 2п new (2)'!$C$7:$H$9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'форма 2п new (2)'!$C$20:$H$20</c:f>
              <c:numCache>
                <c:formatCode>General</c:formatCode>
                <c:ptCount val="6"/>
                <c:pt idx="0">
                  <c:v>27.312000000000001</c:v>
                </c:pt>
                <c:pt idx="1">
                  <c:v>29.102</c:v>
                </c:pt>
                <c:pt idx="2">
                  <c:v>31.670999999999999</c:v>
                </c:pt>
                <c:pt idx="3">
                  <c:v>34.952999999999996</c:v>
                </c:pt>
                <c:pt idx="4">
                  <c:v>37.976000000000006</c:v>
                </c:pt>
                <c:pt idx="5">
                  <c:v>40.865000000000002</c:v>
                </c:pt>
              </c:numCache>
            </c:numRef>
          </c:val>
          <c:smooth val="1"/>
        </c:ser>
        <c:marker val="1"/>
        <c:axId val="98033024"/>
        <c:axId val="98146176"/>
      </c:lineChart>
      <c:catAx>
        <c:axId val="98033024"/>
        <c:scaling>
          <c:orientation val="minMax"/>
        </c:scaling>
        <c:axPos val="b"/>
        <c:tickLblPos val="nextTo"/>
        <c:crossAx val="98146176"/>
        <c:crosses val="autoZero"/>
        <c:auto val="1"/>
        <c:lblAlgn val="ctr"/>
        <c:lblOffset val="100"/>
      </c:catAx>
      <c:valAx>
        <c:axId val="98146176"/>
        <c:scaling>
          <c:orientation val="minMax"/>
          <c:min val="25"/>
        </c:scaling>
        <c:axPos val="l"/>
        <c:majorGridlines/>
        <c:numFmt formatCode="General" sourceLinked="1"/>
        <c:tickLblPos val="nextTo"/>
        <c:crossAx val="98033024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-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Лист1!$G$6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0.10027118269372332"/>
                </c:manualLayout>
              </c:layout>
              <c:showVal val="1"/>
            </c:dLbl>
            <c:dLbl>
              <c:idx val="1"/>
              <c:layout>
                <c:manualLayout>
                  <c:x val="-1.3631021973529421E-3"/>
                  <c:y val="8.061016647926776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8474572965050513E-2"/>
                </c:manualLayout>
              </c:layout>
              <c:showVal val="1"/>
            </c:dLbl>
            <c:dLbl>
              <c:idx val="3"/>
              <c:layout>
                <c:manualLayout>
                  <c:x val="9.995967306321094E-17"/>
                  <c:y val="8.4542369722158867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838.63</c:v>
                </c:pt>
                <c:pt idx="1">
                  <c:v>869.56999999999948</c:v>
                </c:pt>
                <c:pt idx="2">
                  <c:v>776.4</c:v>
                </c:pt>
                <c:pt idx="3">
                  <c:v>769.12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Лист1!$G$11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720328565588295E-2"/>
                  <c:y val="7.2745759993485551E-2"/>
                </c:manualLayout>
              </c:layout>
              <c:showVal val="1"/>
            </c:dLbl>
            <c:dLbl>
              <c:idx val="1"/>
              <c:layout>
                <c:manualLayout>
                  <c:x val="1.4994124170882405E-2"/>
                  <c:y val="7.2745759993485551E-2"/>
                </c:manualLayout>
              </c:layout>
              <c:showVal val="1"/>
            </c:dLbl>
            <c:dLbl>
              <c:idx val="2"/>
              <c:layout>
                <c:manualLayout>
                  <c:x val="1.4994124170882361E-2"/>
                  <c:y val="7.4711861614931374E-2"/>
                </c:manualLayout>
              </c:layout>
              <c:showVal val="1"/>
            </c:dLbl>
            <c:dLbl>
              <c:idx val="3"/>
              <c:layout>
                <c:manualLayout>
                  <c:x val="1.6357226368235309E-2"/>
                  <c:y val="7.2745759993485551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Лист1!$B$11:$E$11</c:f>
              <c:numCache>
                <c:formatCode>General</c:formatCode>
                <c:ptCount val="4"/>
                <c:pt idx="0">
                  <c:v>850.82999999999947</c:v>
                </c:pt>
                <c:pt idx="1">
                  <c:v>870.56999999999948</c:v>
                </c:pt>
                <c:pt idx="2">
                  <c:v>777.40000000000009</c:v>
                </c:pt>
                <c:pt idx="3">
                  <c:v>770.12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ln>
                <a:solidFill>
                  <a:srgbClr val="FF0000"/>
                </a:solidFill>
              </a:ln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-12.199999999999958</c:v>
                </c:pt>
                <c:pt idx="1">
                  <c:v>-1</c:v>
                </c:pt>
                <c:pt idx="2">
                  <c:v>-1.0000000000001137</c:v>
                </c:pt>
                <c:pt idx="3">
                  <c:v>-1</c:v>
                </c:pt>
              </c:numCache>
            </c:numRef>
          </c:val>
        </c:ser>
        <c:gapWidth val="22"/>
        <c:gapDepth val="90"/>
        <c:shape val="cylinder"/>
        <c:axId val="98889728"/>
        <c:axId val="98891264"/>
        <c:axId val="0"/>
      </c:bar3DChart>
      <c:catAx>
        <c:axId val="98889728"/>
        <c:scaling>
          <c:orientation val="minMax"/>
        </c:scaling>
        <c:axPos val="b"/>
        <c:numFmt formatCode="General" sourceLinked="1"/>
        <c:tickLblPos val="nextTo"/>
        <c:crossAx val="98891264"/>
        <c:crosses val="autoZero"/>
        <c:auto val="1"/>
        <c:lblAlgn val="ctr"/>
        <c:lblOffset val="100"/>
      </c:catAx>
      <c:valAx>
        <c:axId val="98891264"/>
        <c:scaling>
          <c:orientation val="minMax"/>
        </c:scaling>
        <c:axPos val="l"/>
        <c:majorGridlines/>
        <c:numFmt formatCode="General" sourceLinked="1"/>
        <c:tickLblPos val="low"/>
        <c:crossAx val="9888972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Лист1!$A$17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00F26D"/>
            </a:solidFill>
          </c:spPr>
          <c:dLbls>
            <c:spPr>
              <a:solidFill>
                <a:schemeClr val="bg1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Лист1!$B$17:$E$17</c:f>
              <c:numCache>
                <c:formatCode>General</c:formatCode>
                <c:ptCount val="4"/>
                <c:pt idx="0">
                  <c:v>255.17</c:v>
                </c:pt>
                <c:pt idx="1">
                  <c:v>342.57</c:v>
                </c:pt>
                <c:pt idx="2">
                  <c:v>361.88</c:v>
                </c:pt>
                <c:pt idx="3">
                  <c:v>354.28</c:v>
                </c:pt>
              </c:numCache>
            </c:numRef>
          </c:val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0"/>
              <c:layout>
                <c:manualLayout>
                  <c:x val="-2.477035813809475E-2"/>
                  <c:y val="9.5117311350666079E-3"/>
                </c:manualLayout>
              </c:layout>
              <c:showVal val="1"/>
            </c:dLbl>
            <c:dLbl>
              <c:idx val="1"/>
              <c:layout>
                <c:manualLayout>
                  <c:x val="-2.2706161626586851E-2"/>
                  <c:y val="1.268230818008878E-2"/>
                </c:manualLayout>
              </c:layout>
              <c:showVal val="1"/>
            </c:dLbl>
            <c:dLbl>
              <c:idx val="2"/>
              <c:layout>
                <c:manualLayout>
                  <c:x val="-2.477035813809467E-2"/>
                  <c:y val="1.2682308180088721E-2"/>
                </c:manualLayout>
              </c:layout>
              <c:showVal val="1"/>
            </c:dLbl>
            <c:dLbl>
              <c:idx val="3"/>
              <c:layout>
                <c:manualLayout>
                  <c:x val="-2.6834554649602643E-2"/>
                  <c:y val="6.3411540900444015E-3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54.879999999999995</c:v>
                </c:pt>
                <c:pt idx="1">
                  <c:v>31.3</c:v>
                </c:pt>
                <c:pt idx="2">
                  <c:v>29.82</c:v>
                </c:pt>
                <c:pt idx="3">
                  <c:v>30.14</c:v>
                </c:pt>
              </c:numCache>
            </c:numRef>
          </c:val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DEC464"/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141.26</c:v>
                </c:pt>
                <c:pt idx="1">
                  <c:v>169.10999999999999</c:v>
                </c:pt>
                <c:pt idx="2">
                  <c:v>58.09</c:v>
                </c:pt>
                <c:pt idx="3">
                  <c:v>58.09</c:v>
                </c:pt>
              </c:numCache>
            </c:numRef>
          </c:val>
        </c:ser>
        <c:ser>
          <c:idx val="3"/>
          <c:order val="3"/>
          <c:tx>
            <c:strRef>
              <c:f>Лист1!$A$20</c:f>
              <c:strCache>
                <c:ptCount val="1"/>
                <c:pt idx="0">
                  <c:v>Субвенции и субсидии</c:v>
                </c:pt>
              </c:strCache>
            </c:strRef>
          </c:tx>
          <c:spPr>
            <a:solidFill>
              <a:srgbClr val="69D4D9"/>
            </a:solidFill>
          </c:spPr>
          <c:dLbls>
            <c:spPr>
              <a:solidFill>
                <a:sysClr val="window" lastClr="FFFFFF"/>
              </a:solidFill>
            </c:spPr>
            <c:showVal val="1"/>
          </c:dLbls>
          <c:cat>
            <c:numRef>
              <c:f>Лист1!$G$3:$J$3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387.32</c:v>
                </c:pt>
                <c:pt idx="1">
                  <c:v>326.58999999999969</c:v>
                </c:pt>
                <c:pt idx="2">
                  <c:v>326.61</c:v>
                </c:pt>
                <c:pt idx="3">
                  <c:v>326.61</c:v>
                </c:pt>
              </c:numCache>
            </c:numRef>
          </c:val>
        </c:ser>
        <c:shape val="cylinder"/>
        <c:axId val="106666624"/>
        <c:axId val="106676608"/>
        <c:axId val="0"/>
      </c:bar3DChart>
      <c:catAx>
        <c:axId val="106666624"/>
        <c:scaling>
          <c:orientation val="minMax"/>
        </c:scaling>
        <c:axPos val="b"/>
        <c:numFmt formatCode="General" sourceLinked="1"/>
        <c:tickLblPos val="nextTo"/>
        <c:crossAx val="106676608"/>
        <c:crosses val="autoZero"/>
        <c:auto val="1"/>
        <c:lblAlgn val="ctr"/>
        <c:lblOffset val="100"/>
      </c:catAx>
      <c:valAx>
        <c:axId val="106676608"/>
        <c:scaling>
          <c:orientation val="minMax"/>
        </c:scaling>
        <c:axPos val="l"/>
        <c:majorGridlines/>
        <c:numFmt formatCode="General" sourceLinked="1"/>
        <c:tickLblPos val="nextTo"/>
        <c:crossAx val="10666662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9.7266765802881447E-2"/>
          <c:y val="1.9348515045577875E-2"/>
          <c:w val="0.8953852904609837"/>
          <c:h val="0.89958702064896756"/>
        </c:manualLayout>
      </c:layout>
      <c:bar3DChart>
        <c:barDir val="col"/>
        <c:grouping val="standard"/>
        <c:ser>
          <c:idx val="0"/>
          <c:order val="0"/>
          <c:tx>
            <c:strRef>
              <c:f>'рублей (2)'!$I$5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-2.5898941749705886E-2"/>
                  <c:y val="9.4223824036390527E-2"/>
                </c:manualLayout>
              </c:layout>
              <c:showVal val="1"/>
            </c:dLbl>
            <c:dLbl>
              <c:idx val="1"/>
              <c:layout>
                <c:manualLayout>
                  <c:x val="-4.7708576907352973E-2"/>
                  <c:y val="5.2346568909105905E-2"/>
                </c:manualLayout>
              </c:layout>
              <c:showVal val="1"/>
            </c:dLbl>
            <c:dLbl>
              <c:idx val="2"/>
              <c:layout>
                <c:manualLayout>
                  <c:x val="-4.7708576907352973E-2"/>
                  <c:y val="5.2346568909105905E-2"/>
                </c:manualLayout>
              </c:layout>
              <c:showVal val="1"/>
            </c:dLbl>
            <c:dLbl>
              <c:idx val="3"/>
              <c:layout>
                <c:manualLayout>
                  <c:x val="-5.1797883499411904E-2"/>
                  <c:y val="3.7689529614556211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rgbClr val="FF0000"/>
                </a:solidFill>
              </a:ln>
            </c:spPr>
            <c:showVal val="1"/>
          </c:dLbls>
          <c:cat>
            <c:strRef>
              <c:f>'рублей (2)'!$F$6:$F$9</c:f>
              <c:strCache>
                <c:ptCount val="4"/>
                <c:pt idx="0">
                  <c:v>НДФЛ</c:v>
                </c:pt>
                <c:pt idx="1">
                  <c:v>ЕНВД</c:v>
                </c:pt>
                <c:pt idx="2">
                  <c:v>Земельный</c:v>
                </c:pt>
                <c:pt idx="3">
                  <c:v>Аренда</c:v>
                </c:pt>
              </c:strCache>
            </c:strRef>
          </c:cat>
          <c:val>
            <c:numRef>
              <c:f>'рублей (2)'!$G$6:$G$9</c:f>
              <c:numCache>
                <c:formatCode>#,##0.00</c:formatCode>
                <c:ptCount val="4"/>
                <c:pt idx="0">
                  <c:v>251.72</c:v>
                </c:pt>
                <c:pt idx="1">
                  <c:v>28</c:v>
                </c:pt>
                <c:pt idx="2">
                  <c:v>33</c:v>
                </c:pt>
                <c:pt idx="3">
                  <c:v>20.010000000000005</c:v>
                </c:pt>
              </c:numCache>
            </c:numRef>
          </c:val>
        </c:ser>
        <c:ser>
          <c:idx val="1"/>
          <c:order val="1"/>
          <c:tx>
            <c:strRef>
              <c:f>'рублей (2)'!$H$5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5.0434781302058834E-2"/>
                  <c:y val="6.9097470960019891E-2"/>
                </c:manualLayout>
              </c:layout>
              <c:showVal val="1"/>
            </c:dLbl>
            <c:dLbl>
              <c:idx val="1"/>
              <c:layout>
                <c:manualLayout>
                  <c:x val="5.0434781302058834E-2"/>
                  <c:y val="4.8158843396377084E-2"/>
                </c:manualLayout>
              </c:layout>
              <c:showVal val="1"/>
            </c:dLbl>
            <c:dLbl>
              <c:idx val="2"/>
              <c:layout>
                <c:manualLayout>
                  <c:x val="5.8613394486176494E-2"/>
                  <c:y val="4.1877255127284546E-2"/>
                </c:manualLayout>
              </c:layout>
              <c:showVal val="1"/>
            </c:dLbl>
            <c:dLbl>
              <c:idx val="3"/>
              <c:layout>
                <c:manualLayout>
                  <c:x val="5.9976496683529432E-2"/>
                  <c:y val="1.2563176538185424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rgbClr val="0070C0"/>
                </a:solidFill>
              </a:ln>
            </c:spPr>
            <c:showVal val="1"/>
          </c:dLbls>
          <c:cat>
            <c:strRef>
              <c:f>'рублей (2)'!$F$6:$F$9</c:f>
              <c:strCache>
                <c:ptCount val="4"/>
                <c:pt idx="0">
                  <c:v>НДФЛ</c:v>
                </c:pt>
                <c:pt idx="1">
                  <c:v>ЕНВД</c:v>
                </c:pt>
                <c:pt idx="2">
                  <c:v>Земельный</c:v>
                </c:pt>
                <c:pt idx="3">
                  <c:v>Аренда</c:v>
                </c:pt>
              </c:strCache>
            </c:strRef>
          </c:cat>
          <c:val>
            <c:numRef>
              <c:f>'рублей (2)'!$H$6:$H$9</c:f>
              <c:numCache>
                <c:formatCode>#,##0.00</c:formatCode>
                <c:ptCount val="4"/>
                <c:pt idx="0">
                  <c:v>144.6</c:v>
                </c:pt>
                <c:pt idx="1">
                  <c:v>49.05</c:v>
                </c:pt>
                <c:pt idx="2">
                  <c:v>37</c:v>
                </c:pt>
                <c:pt idx="3">
                  <c:v>18.2</c:v>
                </c:pt>
              </c:numCache>
            </c:numRef>
          </c:val>
        </c:ser>
        <c:gapWidth val="110"/>
        <c:gapDepth val="128"/>
        <c:shape val="cylinder"/>
        <c:axId val="142098816"/>
        <c:axId val="142100352"/>
        <c:axId val="96177664"/>
      </c:bar3DChart>
      <c:catAx>
        <c:axId val="142098816"/>
        <c:scaling>
          <c:orientation val="minMax"/>
        </c:scaling>
        <c:axPos val="b"/>
        <c:tickLblPos val="nextTo"/>
        <c:crossAx val="142100352"/>
        <c:crosses val="autoZero"/>
        <c:auto val="1"/>
        <c:lblAlgn val="ctr"/>
        <c:lblOffset val="100"/>
      </c:catAx>
      <c:valAx>
        <c:axId val="142100352"/>
        <c:scaling>
          <c:orientation val="minMax"/>
        </c:scaling>
        <c:axPos val="l"/>
        <c:majorGridlines/>
        <c:numFmt formatCode="#,##0.00" sourceLinked="1"/>
        <c:tickLblPos val="nextTo"/>
        <c:crossAx val="142098816"/>
        <c:crosses val="autoZero"/>
        <c:crossBetween val="between"/>
      </c:valAx>
      <c:serAx>
        <c:axId val="96177664"/>
        <c:scaling>
          <c:orientation val="minMax"/>
        </c:scaling>
        <c:delete val="1"/>
        <c:axPos val="b"/>
        <c:tickLblPos val="nextTo"/>
        <c:crossAx val="142100352"/>
        <c:crosses val="autoZero"/>
      </c:serAx>
    </c:plotArea>
    <c:plotVisOnly val="1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5"/>
      <c:perspective val="10"/>
    </c:view3D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7.4499828490601702E-2"/>
          <c:y val="2.5689662920226376E-2"/>
          <c:w val="0.92550017150939834"/>
          <c:h val="0.77356748945707632"/>
        </c:manualLayout>
      </c:layout>
      <c:bar3DChart>
        <c:barDir val="col"/>
        <c:grouping val="standard"/>
        <c:ser>
          <c:idx val="0"/>
          <c:order val="0"/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-2.4040607258894453E-3"/>
                  <c:y val="9.4223657436078925E-2"/>
                </c:manualLayout>
              </c:layout>
              <c:showVal val="1"/>
            </c:dLbl>
            <c:dLbl>
              <c:idx val="1"/>
              <c:layout>
                <c:manualLayout>
                  <c:x val="2.7262043947058842E-3"/>
                  <c:y val="7.9566784741841062E-2"/>
                </c:manualLayout>
              </c:layout>
              <c:showVal val="1"/>
            </c:dLbl>
            <c:dLbl>
              <c:idx val="2"/>
              <c:layout>
                <c:manualLayout>
                  <c:x val="6.8155109867647093E-3"/>
                  <c:y val="6.4909745447291126E-2"/>
                </c:manualLayout>
              </c:layout>
              <c:showVal val="1"/>
            </c:dLbl>
            <c:dLbl>
              <c:idx val="3"/>
              <c:layout>
                <c:manualLayout>
                  <c:x val="-1.363112930441116E-2"/>
                  <c:y val="7.3285031601664871E-2"/>
                </c:manualLayout>
              </c:layout>
              <c:showVal val="1"/>
            </c:dLbl>
            <c:dLbl>
              <c:idx val="4"/>
              <c:layout>
                <c:manualLayout>
                  <c:x val="1.3631021973529421E-3"/>
                  <c:y val="8.7942235767297733E-2"/>
                </c:manualLayout>
              </c:layout>
              <c:showVal val="1"/>
            </c:dLbl>
            <c:dLbl>
              <c:idx val="5"/>
              <c:layout>
                <c:manualLayout>
                  <c:x val="2.9988248341764712E-2"/>
                  <c:y val="2.0938627563642297E-2"/>
                </c:manualLayout>
              </c:layout>
              <c:showVal val="1"/>
            </c:dLbl>
            <c:dLbl>
              <c:idx val="6"/>
              <c:layout>
                <c:manualLayout>
                  <c:x val="4.1140826559675617E-2"/>
                  <c:y val="2.710194933498481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9.4223824036390527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'рублей (2)'!$F$10:$F$18</c:f>
              <c:strCache>
                <c:ptCount val="8"/>
                <c:pt idx="0">
                  <c:v>Налог на имущество</c:v>
                </c:pt>
                <c:pt idx="1">
                  <c:v>Акцизы</c:v>
                </c:pt>
                <c:pt idx="2">
                  <c:v>Госпошлина</c:v>
                </c:pt>
                <c:pt idx="3">
                  <c:v>Прочие доходы собственности</c:v>
                </c:pt>
                <c:pt idx="4">
                  <c:v>Доходы от продажи</c:v>
                </c:pt>
                <c:pt idx="5">
                  <c:v>Прочие доходы от компенсации затрат </c:v>
                </c:pt>
                <c:pt idx="6">
                  <c:v>Штрафы</c:v>
                </c:pt>
                <c:pt idx="7">
                  <c:v>Прочие доходы</c:v>
                </c:pt>
              </c:strCache>
            </c:strRef>
          </c:cat>
          <c:val>
            <c:numRef>
              <c:f>'рублей (2)'!$G$10:$G$18</c:f>
              <c:numCache>
                <c:formatCode>#,##0.00</c:formatCode>
                <c:ptCount val="8"/>
                <c:pt idx="0">
                  <c:v>13.6</c:v>
                </c:pt>
                <c:pt idx="1">
                  <c:v>9.2800000000000011</c:v>
                </c:pt>
                <c:pt idx="2">
                  <c:v>6.1199999999999966</c:v>
                </c:pt>
                <c:pt idx="3">
                  <c:v>2.88</c:v>
                </c:pt>
                <c:pt idx="4">
                  <c:v>5.3</c:v>
                </c:pt>
                <c:pt idx="5">
                  <c:v>0.8</c:v>
                </c:pt>
                <c:pt idx="6">
                  <c:v>0.30000000000000032</c:v>
                </c:pt>
                <c:pt idx="7">
                  <c:v>2.8600000000000003</c:v>
                </c:pt>
              </c:numCache>
            </c:numRef>
          </c:val>
        </c:ser>
        <c:ser>
          <c:idx val="1"/>
          <c:order val="1"/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1809635157647091E-2"/>
                  <c:y val="9.4223824036390347E-2"/>
                </c:manualLayout>
              </c:layout>
              <c:showVal val="1"/>
            </c:dLbl>
            <c:dLbl>
              <c:idx val="1"/>
              <c:layout>
                <c:manualLayout>
                  <c:x val="2.4535787652094212E-2"/>
                  <c:y val="7.384588162434752E-2"/>
                </c:manualLayout>
              </c:layout>
              <c:showVal val="1"/>
            </c:dLbl>
            <c:dLbl>
              <c:idx val="2"/>
              <c:layout>
                <c:manualLayout>
                  <c:x val="3.4077554933823542E-2"/>
                  <c:y val="5.4440431665469982E-2"/>
                </c:manualLayout>
              </c:layout>
              <c:showVal val="1"/>
            </c:dLbl>
            <c:dLbl>
              <c:idx val="3"/>
              <c:layout>
                <c:manualLayout>
                  <c:x val="2.8625146144411782E-2"/>
                  <c:y val="5.0252706152741834E-2"/>
                </c:manualLayout>
              </c:layout>
              <c:showVal val="1"/>
            </c:dLbl>
            <c:dLbl>
              <c:idx val="4"/>
              <c:layout>
                <c:manualLayout>
                  <c:x val="3.1351301351648223E-2"/>
                  <c:y val="7.5260845203338353E-2"/>
                </c:manualLayout>
              </c:layout>
              <c:showVal val="1"/>
            </c:dLbl>
            <c:dLbl>
              <c:idx val="5"/>
              <c:layout>
                <c:manualLayout>
                  <c:x val="2.7262043947058842E-3"/>
                  <c:y val="7.5379059229112283E-2"/>
                </c:manualLayout>
              </c:layout>
              <c:showVal val="1"/>
            </c:dLbl>
            <c:dLbl>
              <c:idx val="6"/>
              <c:layout>
                <c:manualLayout>
                  <c:x val="1.3631335730610802E-3"/>
                  <c:y val="9.0242118611577979E-2"/>
                </c:manualLayout>
              </c:layout>
              <c:showVal val="1"/>
            </c:dLbl>
            <c:dLbl>
              <c:idx val="7"/>
              <c:layout>
                <c:manualLayout>
                  <c:x val="5.6134987531844892E-2"/>
                  <c:y val="6.6561089976112611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'рублей (2)'!$F$10:$F$18</c:f>
              <c:strCache>
                <c:ptCount val="8"/>
                <c:pt idx="0">
                  <c:v>Налог на имущество</c:v>
                </c:pt>
                <c:pt idx="1">
                  <c:v>Акцизы</c:v>
                </c:pt>
                <c:pt idx="2">
                  <c:v>Госпошлина</c:v>
                </c:pt>
                <c:pt idx="3">
                  <c:v>Прочие доходы собственности</c:v>
                </c:pt>
                <c:pt idx="4">
                  <c:v>Доходы от продажи</c:v>
                </c:pt>
                <c:pt idx="5">
                  <c:v>Прочие доходы от компенсации затрат </c:v>
                </c:pt>
                <c:pt idx="6">
                  <c:v>Штрафы</c:v>
                </c:pt>
                <c:pt idx="7">
                  <c:v>Прочие доходы</c:v>
                </c:pt>
              </c:strCache>
            </c:strRef>
          </c:cat>
          <c:val>
            <c:numRef>
              <c:f>'рублей (2)'!$H$10:$H$18</c:f>
              <c:numCache>
                <c:formatCode>#,##0.00</c:formatCode>
                <c:ptCount val="8"/>
                <c:pt idx="0">
                  <c:v>10.76</c:v>
                </c:pt>
                <c:pt idx="1">
                  <c:v>7.91</c:v>
                </c:pt>
                <c:pt idx="2">
                  <c:v>4.8899999999999997</c:v>
                </c:pt>
                <c:pt idx="3">
                  <c:v>3.18</c:v>
                </c:pt>
                <c:pt idx="4">
                  <c:v>6.3</c:v>
                </c:pt>
                <c:pt idx="5">
                  <c:v>15.97</c:v>
                </c:pt>
                <c:pt idx="6">
                  <c:v>10</c:v>
                </c:pt>
                <c:pt idx="7">
                  <c:v>2.19</c:v>
                </c:pt>
              </c:numCache>
            </c:numRef>
          </c:val>
        </c:ser>
        <c:gapWidth val="110"/>
        <c:gapDepth val="128"/>
        <c:shape val="cylinder"/>
        <c:axId val="142156928"/>
        <c:axId val="142158464"/>
        <c:axId val="96642368"/>
      </c:bar3DChart>
      <c:catAx>
        <c:axId val="14215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158464"/>
        <c:crosses val="autoZero"/>
        <c:auto val="1"/>
        <c:lblAlgn val="ctr"/>
        <c:lblOffset val="100"/>
      </c:catAx>
      <c:valAx>
        <c:axId val="142158464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156928"/>
        <c:crosses val="autoZero"/>
        <c:crossBetween val="between"/>
      </c:valAx>
      <c:serAx>
        <c:axId val="96642368"/>
        <c:scaling>
          <c:orientation val="minMax"/>
        </c:scaling>
        <c:delete val="1"/>
        <c:axPos val="b"/>
        <c:tickLblPos val="nextTo"/>
        <c:crossAx val="142158464"/>
        <c:crosses val="autoZero"/>
      </c:serAx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40</cp:revision>
  <dcterms:created xsi:type="dcterms:W3CDTF">2018-11-27T21:45:00Z</dcterms:created>
  <dcterms:modified xsi:type="dcterms:W3CDTF">2018-11-29T22:28:00Z</dcterms:modified>
</cp:coreProperties>
</file>