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4536"/>
      </w:tblGrid>
      <w:tr w:rsidR="00E13651" w:rsidTr="005964FB">
        <w:trPr>
          <w:trHeight w:val="2976"/>
        </w:trPr>
        <w:tc>
          <w:tcPr>
            <w:tcW w:w="3190" w:type="dxa"/>
          </w:tcPr>
          <w:p w:rsidR="00E13651" w:rsidRDefault="00E13651" w:rsidP="00E136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4" w:type="dxa"/>
          </w:tcPr>
          <w:p w:rsidR="00E13651" w:rsidRDefault="00E13651" w:rsidP="00E136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E13651" w:rsidRPr="00E13651" w:rsidRDefault="005964FB" w:rsidP="005964F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ПРИНЯТО</w:t>
            </w:r>
          </w:p>
          <w:p w:rsidR="00E13651" w:rsidRDefault="00E13651" w:rsidP="005964FB">
            <w:pPr>
              <w:spacing w:after="0"/>
              <w:jc w:val="center"/>
              <w:rPr>
                <w:rStyle w:val="31"/>
                <w:i w:val="0"/>
              </w:rPr>
            </w:pPr>
            <w:r w:rsidRPr="00E13651">
              <w:rPr>
                <w:rFonts w:ascii="Times New Roman" w:hAnsi="Times New Roman"/>
                <w:sz w:val="26"/>
                <w:szCs w:val="26"/>
              </w:rPr>
              <w:t>на заседании Общественного совета</w:t>
            </w:r>
            <w:r w:rsidRPr="00E13651">
              <w:t xml:space="preserve"> </w:t>
            </w:r>
            <w:r w:rsidRPr="00E13651">
              <w:rPr>
                <w:rStyle w:val="31"/>
                <w:i w:val="0"/>
              </w:rPr>
              <w:t xml:space="preserve">при управлении образования Администрации городского округа </w:t>
            </w:r>
            <w:proofErr w:type="gramStart"/>
            <w:r w:rsidRPr="00E13651">
              <w:rPr>
                <w:rStyle w:val="31"/>
                <w:i w:val="0"/>
              </w:rPr>
              <w:t>Спасск-Дальний</w:t>
            </w:r>
            <w:proofErr w:type="gramEnd"/>
          </w:p>
          <w:p w:rsidR="00E13651" w:rsidRPr="00A03DB6" w:rsidRDefault="00A03DB6" w:rsidP="005964FB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31"/>
                <w:i w:val="0"/>
              </w:rPr>
              <w:t>(протокол от</w:t>
            </w:r>
            <w:r w:rsidR="005964FB">
              <w:rPr>
                <w:rStyle w:val="31"/>
                <w:i w:val="0"/>
              </w:rPr>
              <w:t xml:space="preserve"> 25 ноября 2016 № 3</w:t>
            </w:r>
            <w:r>
              <w:rPr>
                <w:rStyle w:val="31"/>
                <w:i w:val="0"/>
              </w:rPr>
              <w:t>)</w:t>
            </w:r>
          </w:p>
        </w:tc>
      </w:tr>
    </w:tbl>
    <w:p w:rsidR="00E13651" w:rsidRDefault="00E13651" w:rsidP="00E136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13651" w:rsidRDefault="00E13651" w:rsidP="00E136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СВОДНОЕ ОПИСАНИЕ РЕЗУЛЬТАТОВ НЕЗАВИСИМОЙ ОЦЕНКИ КАЧЕСТВА ОБРАЗОВАТЕЛЬНОЙ ДЕЯТЕЛЬНОСТИ ОРГАНИЗАЦИЙ, ОСУЩЕСТВЛЯЮЩИХ ОБРАЗОВАТЕЛЬНУЮ ДЕЯТЕЛЬНОСТЬ НА ТЕРРИТОРИИ ГОРОДСКОГО ОКРУГА </w:t>
      </w:r>
      <w:proofErr w:type="gramStart"/>
      <w:r>
        <w:rPr>
          <w:rFonts w:ascii="Times New Roman" w:hAnsi="Times New Roman"/>
          <w:b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13651" w:rsidRDefault="00E13651" w:rsidP="00E13651">
      <w:pPr>
        <w:spacing w:after="0" w:line="240" w:lineRule="auto"/>
        <w:ind w:firstLine="689"/>
        <w:jc w:val="center"/>
        <w:rPr>
          <w:rFonts w:ascii="Times New Roman" w:hAnsi="Times New Roman"/>
          <w:b/>
          <w:sz w:val="26"/>
          <w:szCs w:val="26"/>
        </w:rPr>
      </w:pPr>
    </w:p>
    <w:p w:rsidR="00E13651" w:rsidRDefault="00E13651" w:rsidP="00E13651">
      <w:pPr>
        <w:pStyle w:val="24"/>
        <w:tabs>
          <w:tab w:val="left" w:pos="85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Процедура независимой оценки качества образовательной деятельности (далее – НОК ОД) была осуществлена в отношении 26 (100%) муниципальных образовательных организаций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>, подведомственных управлению образования Администрации городского округа Спасск-Дальний (далее – образовательные организации).</w:t>
      </w:r>
    </w:p>
    <w:p w:rsidR="00E13651" w:rsidRDefault="007A7542" w:rsidP="007A7542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</w:t>
      </w:r>
      <w:r w:rsidR="00E13651">
        <w:rPr>
          <w:rFonts w:ascii="Times New Roman" w:hAnsi="Times New Roman"/>
          <w:sz w:val="26"/>
          <w:szCs w:val="26"/>
        </w:rPr>
        <w:t xml:space="preserve"> НОК ОД </w:t>
      </w:r>
      <w:r>
        <w:rPr>
          <w:rFonts w:ascii="Times New Roman" w:hAnsi="Times New Roman"/>
          <w:sz w:val="26"/>
          <w:szCs w:val="26"/>
        </w:rPr>
        <w:t xml:space="preserve">2016 года </w:t>
      </w:r>
      <w:r w:rsidR="00E13651">
        <w:rPr>
          <w:rFonts w:ascii="Times New Roman" w:hAnsi="Times New Roman"/>
          <w:sz w:val="26"/>
          <w:szCs w:val="26"/>
        </w:rPr>
        <w:t>были получены следующие</w:t>
      </w:r>
      <w:r>
        <w:rPr>
          <w:rFonts w:ascii="Times New Roman" w:hAnsi="Times New Roman"/>
          <w:sz w:val="26"/>
          <w:szCs w:val="26"/>
        </w:rPr>
        <w:t xml:space="preserve"> результаты. </w:t>
      </w:r>
    </w:p>
    <w:p w:rsidR="00E13651" w:rsidRDefault="007A7542" w:rsidP="007A75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Критерий «</w:t>
      </w:r>
      <w:r w:rsidR="00E13651">
        <w:rPr>
          <w:rFonts w:ascii="Times New Roman" w:hAnsi="Times New Roman"/>
          <w:b/>
          <w:sz w:val="26"/>
          <w:szCs w:val="26"/>
        </w:rPr>
        <w:t>Открытость и доступность информации об организациях, осуществляющ</w:t>
      </w:r>
      <w:r>
        <w:rPr>
          <w:rFonts w:ascii="Times New Roman" w:hAnsi="Times New Roman"/>
          <w:b/>
          <w:sz w:val="26"/>
          <w:szCs w:val="26"/>
        </w:rPr>
        <w:t>их образовательную деятельность»</w:t>
      </w:r>
    </w:p>
    <w:p w:rsidR="007A7542" w:rsidRDefault="007A7542" w:rsidP="007A754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 разрезе каждой образовательной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1345"/>
        <w:gridCol w:w="1538"/>
      </w:tblGrid>
      <w:tr w:rsidR="007A7542" w:rsidTr="00F85AA9">
        <w:trPr>
          <w:trHeight w:val="27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Наименование учреждения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Показатели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Общий показатель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8,85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31,83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9,59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5,59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34,69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9,88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5,83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35,47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9,79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5,72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34,05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5,31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33,49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31,32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8,97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  <w:lang w:eastAsia="en-US"/>
              </w:rPr>
              <w:t>31,38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5,69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32,63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«Гимназия»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9,42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5,35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34,00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A7542" w:rsidTr="00F85AA9">
        <w:trPr>
          <w:trHeight w:val="3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7,89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4,82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29,45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4,29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25,90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7,95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5,94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31,86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7,66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5,41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30,21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7,77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5,80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30,92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5,65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29,15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8,49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5,42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29,57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7,62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5,09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30,28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МБДОУ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4,62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27,67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29,57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7,76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4,79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30,97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7,73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5,58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30,68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8,27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5,76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32,16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3,70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27,13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 ДО ДДТ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8,94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5,92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34,75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Созвездие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6,77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4,73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31,38</w:t>
            </w:r>
          </w:p>
        </w:tc>
      </w:tr>
      <w:tr w:rsidR="007A7542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542" w:rsidRDefault="007A7542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 ДО ДООСЦ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7,98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5,97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2" w:rsidRDefault="007A7542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33,89</w:t>
            </w:r>
          </w:p>
        </w:tc>
      </w:tr>
    </w:tbl>
    <w:p w:rsidR="007A7542" w:rsidRDefault="007A7542" w:rsidP="007A754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7542" w:rsidRPr="007A7542" w:rsidRDefault="007A7542" w:rsidP="007A754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Таким образом, наиболее полная информация размещена на сайтах МБОУ СОШ № 4 (среди общеобразовательных учреждений), МБУ ДО ДДТ (среди организаций дополнительного образования) и МБДОУ № 26 (среди </w:t>
      </w:r>
      <w:proofErr w:type="spellStart"/>
      <w:r>
        <w:rPr>
          <w:rFonts w:ascii="Times New Roman" w:hAnsi="Times New Roman"/>
          <w:sz w:val="26"/>
          <w:szCs w:val="26"/>
        </w:rPr>
        <w:t>дош</w:t>
      </w:r>
      <w:proofErr w:type="spellEnd"/>
      <w:proofErr w:type="gramEnd"/>
    </w:p>
    <w:p w:rsidR="00E13651" w:rsidRDefault="00E13651" w:rsidP="00E1365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Средние значения по критерию в целом и по входящим в него показателям приведены в </w:t>
      </w:r>
      <w:r w:rsidR="007A7542">
        <w:rPr>
          <w:rFonts w:ascii="Times New Roman" w:hAnsi="Times New Roman"/>
          <w:i/>
          <w:sz w:val="26"/>
          <w:szCs w:val="26"/>
        </w:rPr>
        <w:t>диаграмме 1:</w:t>
      </w:r>
    </w:p>
    <w:p w:rsidR="00E13651" w:rsidRDefault="00E13651" w:rsidP="00E13651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noProof/>
        </w:rPr>
        <w:drawing>
          <wp:inline distT="0" distB="0" distL="0" distR="0">
            <wp:extent cx="4838700" cy="30670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3651" w:rsidRPr="007A7542" w:rsidRDefault="007A7542" w:rsidP="007A7542">
      <w:pPr>
        <w:spacing w:after="0" w:line="300" w:lineRule="auto"/>
        <w:jc w:val="right"/>
        <w:rPr>
          <w:rFonts w:ascii="Times New Roman" w:hAnsi="Times New Roman"/>
          <w:i/>
          <w:sz w:val="28"/>
          <w:szCs w:val="28"/>
        </w:rPr>
      </w:pPr>
      <w:r w:rsidRPr="007A7542">
        <w:rPr>
          <w:rFonts w:ascii="Times New Roman" w:hAnsi="Times New Roman"/>
          <w:i/>
          <w:sz w:val="28"/>
          <w:szCs w:val="28"/>
        </w:rPr>
        <w:t>Диаграмма 1</w:t>
      </w:r>
    </w:p>
    <w:p w:rsidR="007A7542" w:rsidRDefault="007A7542" w:rsidP="007A754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видно из диаграммы, наибольший вклад в оценку по критерию вносят </w:t>
      </w:r>
      <w:r>
        <w:rPr>
          <w:rFonts w:ascii="Times New Roman" w:hAnsi="Times New Roman"/>
          <w:i/>
          <w:sz w:val="26"/>
          <w:szCs w:val="26"/>
        </w:rPr>
        <w:t>показатели 1.1, 1.2 и 1.3</w:t>
      </w:r>
      <w:r>
        <w:rPr>
          <w:rFonts w:ascii="Times New Roman" w:hAnsi="Times New Roman"/>
          <w:sz w:val="26"/>
          <w:szCs w:val="26"/>
        </w:rPr>
        <w:t xml:space="preserve">, наименьший – </w:t>
      </w:r>
      <w:r>
        <w:rPr>
          <w:rFonts w:ascii="Times New Roman" w:hAnsi="Times New Roman"/>
          <w:i/>
          <w:sz w:val="26"/>
          <w:szCs w:val="26"/>
        </w:rPr>
        <w:t>показатель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1.4</w:t>
      </w:r>
      <w:r>
        <w:rPr>
          <w:rFonts w:ascii="Times New Roman" w:hAnsi="Times New Roman"/>
          <w:sz w:val="26"/>
          <w:szCs w:val="26"/>
        </w:rPr>
        <w:t>.</w:t>
      </w:r>
    </w:p>
    <w:p w:rsidR="007A7542" w:rsidRDefault="007A7542" w:rsidP="007A754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</w:t>
      </w:r>
      <w:r>
        <w:rPr>
          <w:rFonts w:ascii="Times New Roman" w:hAnsi="Times New Roman"/>
          <w:i/>
          <w:sz w:val="26"/>
          <w:szCs w:val="26"/>
        </w:rPr>
        <w:t>показателей 1.1 и 1.2</w:t>
      </w:r>
      <w:r>
        <w:rPr>
          <w:rFonts w:ascii="Times New Roman" w:hAnsi="Times New Roman"/>
          <w:sz w:val="26"/>
          <w:szCs w:val="26"/>
        </w:rPr>
        <w:t xml:space="preserve"> основано на перечне требований, предъявляемых к сайтам образовательных организаций в соответствии с Постановлением Правительства Российской Федерации от 10 июля 2013 г. № 582                    «Об утверждении Правил размещения на официальном сайте образовательной организации в информационно-телекоммуникационной сети «Интернет» и </w:t>
      </w:r>
      <w:r>
        <w:rPr>
          <w:rFonts w:ascii="Times New Roman" w:hAnsi="Times New Roman"/>
          <w:sz w:val="26"/>
          <w:szCs w:val="26"/>
        </w:rPr>
        <w:lastRenderedPageBreak/>
        <w:t>обновления информации об образовательной организации». Из представленной диаграммы следует, что наиболее полно соответствуют требованиям федерального законодательства сайты общеобразовательных организаций, а сайты организаций дополнительного образования - менее всего.</w:t>
      </w:r>
    </w:p>
    <w:p w:rsidR="007A7542" w:rsidRDefault="007A7542" w:rsidP="007A754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целом содержание сайтов образовательных организаций еще не в полной мере соответствует требованиям федерального законодательства.</w:t>
      </w:r>
    </w:p>
    <w:p w:rsidR="007A7542" w:rsidRDefault="007A7542" w:rsidP="007A754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типичным является отсутствие на сайтах образовательных организаций следующей обязательной информации:</w:t>
      </w:r>
    </w:p>
    <w:p w:rsidR="007A7542" w:rsidRDefault="007A7542" w:rsidP="007A754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отдельных сведений о педагогических работниках (о направлениях подготовки педагогических работников и о повышении ими квалификации);</w:t>
      </w:r>
    </w:p>
    <w:p w:rsidR="007A7542" w:rsidRDefault="007A7542" w:rsidP="007A754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копий документов (учебный план, календарный учебный график, отчет о </w:t>
      </w:r>
      <w:proofErr w:type="spellStart"/>
      <w:r>
        <w:rPr>
          <w:rFonts w:ascii="Times New Roman" w:hAnsi="Times New Roman"/>
          <w:sz w:val="26"/>
          <w:szCs w:val="26"/>
        </w:rPr>
        <w:t>самообследовании</w:t>
      </w:r>
      <w:proofErr w:type="spellEnd"/>
      <w:r>
        <w:rPr>
          <w:rFonts w:ascii="Times New Roman" w:hAnsi="Times New Roman"/>
          <w:sz w:val="26"/>
          <w:szCs w:val="26"/>
        </w:rPr>
        <w:t>, ряд локальных нормативных актов).</w:t>
      </w:r>
    </w:p>
    <w:p w:rsidR="007A7542" w:rsidRDefault="007A7542" w:rsidP="007A754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Распространенными неточностями при размещении информации является несвоевременность ее обновления, а также дублирование одних и тех же сведений на разных разделах сайта (как правило, сведений о педагогических работниках).</w:t>
      </w:r>
    </w:p>
    <w:p w:rsidR="007A7542" w:rsidRDefault="007A7542" w:rsidP="007A754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Показатель 1.3</w:t>
      </w:r>
      <w:r>
        <w:rPr>
          <w:rFonts w:ascii="Times New Roman" w:hAnsi="Times New Roman"/>
          <w:sz w:val="26"/>
          <w:szCs w:val="26"/>
        </w:rPr>
        <w:t xml:space="preserve"> характеризует интерактивную составляющую сайтов и отражает их обеспечение по взаимодействию с получателями образовательных услуг. НОК ОД показала, что подобное взаимодействие в большей или меньшей степени отражают сайты всех образовательных организаций. </w:t>
      </w:r>
    </w:p>
    <w:p w:rsidR="007A7542" w:rsidRDefault="007A7542" w:rsidP="007A754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Показатель 1.4</w:t>
      </w:r>
      <w:r>
        <w:rPr>
          <w:rFonts w:ascii="Times New Roman" w:hAnsi="Times New Roman"/>
          <w:sz w:val="26"/>
          <w:szCs w:val="26"/>
        </w:rPr>
        <w:t xml:space="preserve"> сформулирован как «Доступность сведений о ходе рассмотрения обращений граждан, поступивших в организацию от получателей образовательных услуг». Чаще всего к ним относятся сведения о зачислении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. В ходе НОК ОД также оценивалось наличие на сайтах образовательных организаций информации о способах получения таких сведений. Непосредственное указание на способы получения сведений о ходе рассмотрения обращений граждан опубликовали только 5 % организаций, включенных в НОК ОД.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7A7542" w:rsidRDefault="007A7542" w:rsidP="007A754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по данному критерию показывает, что наиболее полная информация размещена на сайтах общеобразовательных организаций и организаций дополнительного образования, а наименее полная – на сайтах дошкольных учреждений.</w:t>
      </w:r>
    </w:p>
    <w:p w:rsidR="00E13651" w:rsidRDefault="00E13651" w:rsidP="00E1365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Критерий в целом представлен в сводной таблице:</w:t>
      </w:r>
    </w:p>
    <w:p w:rsidR="00E13651" w:rsidRDefault="00E13651" w:rsidP="00E1365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3"/>
        <w:gridCol w:w="1984"/>
        <w:gridCol w:w="1843"/>
      </w:tblGrid>
      <w:tr w:rsidR="00E13651" w:rsidTr="00E13651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Средний балл</w:t>
            </w:r>
          </w:p>
        </w:tc>
      </w:tr>
      <w:tr w:rsidR="00E13651" w:rsidTr="00E13651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1" w:rsidRDefault="00E13651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31,32</w:t>
            </w:r>
          </w:p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E13651" w:rsidTr="00E13651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9,45</w:t>
            </w:r>
          </w:p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E13651" w:rsidTr="00E13651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на официальном сайте организации в сети Интернет сведений о педагогических работниках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8,51</w:t>
            </w:r>
          </w:p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E13651" w:rsidTr="00E13651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8,09</w:t>
            </w:r>
          </w:p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E13651" w:rsidTr="00E13651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5,27</w:t>
            </w:r>
          </w:p>
        </w:tc>
      </w:tr>
    </w:tbl>
    <w:p w:rsidR="00E13651" w:rsidRDefault="00E13651" w:rsidP="00E1365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3651" w:rsidRDefault="00DB0AB4" w:rsidP="00DB0AB4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Критерий «</w:t>
      </w:r>
      <w:r w:rsidR="00E13651">
        <w:rPr>
          <w:rFonts w:ascii="Times New Roman" w:hAnsi="Times New Roman"/>
          <w:b/>
          <w:sz w:val="26"/>
          <w:szCs w:val="26"/>
        </w:rPr>
        <w:t>Комфортность условий, в которых осуществляет</w:t>
      </w:r>
      <w:r>
        <w:rPr>
          <w:rFonts w:ascii="Times New Roman" w:hAnsi="Times New Roman"/>
          <w:b/>
          <w:sz w:val="26"/>
          <w:szCs w:val="26"/>
        </w:rPr>
        <w:t>ся образовательная деятельность»</w:t>
      </w:r>
    </w:p>
    <w:p w:rsidR="00DB0AB4" w:rsidRDefault="00DB0AB4" w:rsidP="00DB0AB4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 разрезе каждой образовательной организации: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49"/>
        <w:gridCol w:w="850"/>
        <w:gridCol w:w="850"/>
        <w:gridCol w:w="851"/>
        <w:gridCol w:w="850"/>
        <w:gridCol w:w="851"/>
        <w:gridCol w:w="850"/>
        <w:gridCol w:w="1417"/>
      </w:tblGrid>
      <w:tr w:rsidR="00DB0AB4" w:rsidTr="00F85AA9">
        <w:trPr>
          <w:trHeight w:val="27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Наименование учреждения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Общий показатель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2.7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46,55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46,89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50,83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50,10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44,51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МБОУ СОШ №12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41,11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42,15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46,65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«Гимназия»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48,13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DB0AB4" w:rsidTr="00F85AA9">
        <w:trPr>
          <w:trHeight w:val="2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DB0AB4" w:rsidTr="00F85AA9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DB0AB4" w:rsidRDefault="00DB0AB4" w:rsidP="00F85AA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  <w:t>3,95</w:t>
                  </w:r>
                </w:p>
              </w:tc>
            </w:tr>
            <w:tr w:rsidR="00DB0AB4" w:rsidTr="00F85AA9">
              <w:trPr>
                <w:trHeight w:val="63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DB0AB4" w:rsidRDefault="00DB0AB4" w:rsidP="00F85AA9">
                  <w:pPr>
                    <w:spacing w:after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 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DB0AB4" w:rsidTr="00F85AA9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DB0AB4" w:rsidRDefault="00DB0AB4" w:rsidP="00F85AA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  <w:t>5,48</w:t>
                  </w:r>
                </w:p>
              </w:tc>
            </w:tr>
          </w:tbl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 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 6,54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DB0AB4" w:rsidTr="00F85AA9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DB0AB4" w:rsidRDefault="00DB0AB4" w:rsidP="00F85AA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  <w:t>2,94</w:t>
                  </w:r>
                </w:p>
              </w:tc>
            </w:tr>
          </w:tbl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 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      32,06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29,61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44,13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43,07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45,35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41,83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32,06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43,93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33,21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37,77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43,24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43,60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8,81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47,49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44,72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 ДО ДДТ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40,19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озвездие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40,34</w:t>
            </w:r>
          </w:p>
        </w:tc>
      </w:tr>
      <w:tr w:rsidR="00DB0AB4" w:rsidTr="00F85AA9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 ДО ДООСЦ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41,69</w:t>
            </w:r>
          </w:p>
        </w:tc>
      </w:tr>
    </w:tbl>
    <w:p w:rsidR="00DB0AB4" w:rsidRDefault="00DB0AB4" w:rsidP="00DB0AB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наиболее комфортные условия созданы в МБОУ СОШ № 4 и МБОУ СОШ № 5 (среди общеобразовательных организаций), в МБДОУ № 26 (среди дошкольных образовательных организаций) и МБУ ДО ДООСЦ (среди организаций дополнительного образования). </w:t>
      </w:r>
    </w:p>
    <w:p w:rsidR="00E13651" w:rsidRDefault="00E13651" w:rsidP="00E1365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оценки по критерию в целом и по входящим в него показателям приведены в </w:t>
      </w:r>
      <w:r>
        <w:rPr>
          <w:rFonts w:ascii="Times New Roman" w:hAnsi="Times New Roman"/>
          <w:i/>
          <w:sz w:val="26"/>
          <w:szCs w:val="26"/>
        </w:rPr>
        <w:t>диаграмме 2</w:t>
      </w:r>
      <w:r>
        <w:rPr>
          <w:rFonts w:ascii="Times New Roman" w:hAnsi="Times New Roman"/>
          <w:sz w:val="26"/>
          <w:szCs w:val="26"/>
        </w:rPr>
        <w:t>.</w:t>
      </w:r>
    </w:p>
    <w:p w:rsidR="00E13651" w:rsidRDefault="00E13651" w:rsidP="00E1365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53125" cy="27432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0AB4" w:rsidRPr="007A7542" w:rsidRDefault="00DB0AB4" w:rsidP="00DB0AB4">
      <w:pPr>
        <w:spacing w:after="0" w:line="300" w:lineRule="auto"/>
        <w:jc w:val="right"/>
        <w:rPr>
          <w:rFonts w:ascii="Times New Roman" w:hAnsi="Times New Roman"/>
          <w:i/>
          <w:sz w:val="28"/>
          <w:szCs w:val="28"/>
        </w:rPr>
      </w:pPr>
      <w:r w:rsidRPr="007A7542">
        <w:rPr>
          <w:rFonts w:ascii="Times New Roman" w:hAnsi="Times New Roman"/>
          <w:i/>
          <w:sz w:val="28"/>
          <w:szCs w:val="28"/>
        </w:rPr>
        <w:t>Диаграмм</w:t>
      </w:r>
      <w:r>
        <w:rPr>
          <w:rFonts w:ascii="Times New Roman" w:hAnsi="Times New Roman"/>
          <w:i/>
          <w:sz w:val="28"/>
          <w:szCs w:val="28"/>
        </w:rPr>
        <w:t>а 2</w:t>
      </w:r>
    </w:p>
    <w:p w:rsidR="00E13651" w:rsidRDefault="00E13651" w:rsidP="00DB0AB4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</w:p>
    <w:p w:rsidR="00DB0AB4" w:rsidRDefault="00DB0AB4" w:rsidP="00DB0AB4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видно из диаграммы, относительно высокие результаты получены по </w:t>
      </w:r>
      <w:r>
        <w:rPr>
          <w:rFonts w:ascii="Times New Roman" w:hAnsi="Times New Roman"/>
          <w:i/>
          <w:sz w:val="26"/>
          <w:szCs w:val="26"/>
        </w:rPr>
        <w:t>показателям 2.2, 2,4 и 2,5</w:t>
      </w:r>
      <w:r>
        <w:rPr>
          <w:rFonts w:ascii="Times New Roman" w:hAnsi="Times New Roman"/>
          <w:sz w:val="26"/>
          <w:szCs w:val="26"/>
        </w:rPr>
        <w:t xml:space="preserve">, относительно низкие результаты, которые можно обозначить как зону развития, - по </w:t>
      </w:r>
      <w:r>
        <w:rPr>
          <w:rFonts w:ascii="Times New Roman" w:hAnsi="Times New Roman"/>
          <w:i/>
          <w:sz w:val="26"/>
          <w:szCs w:val="26"/>
        </w:rPr>
        <w:t>показателям 2.1, 2.3, 2.6 и 2.7</w:t>
      </w:r>
      <w:r>
        <w:rPr>
          <w:rFonts w:ascii="Times New Roman" w:hAnsi="Times New Roman"/>
          <w:sz w:val="26"/>
          <w:szCs w:val="26"/>
        </w:rPr>
        <w:t>.</w:t>
      </w:r>
    </w:p>
    <w:p w:rsidR="00DB0AB4" w:rsidRDefault="00DB0AB4" w:rsidP="00DB0AB4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Значительный вклад в обеспечение комфортности образовательной деятельности вносят созданные в образовательных организациях условия для охраны и укрепления здоровья обучающихся (</w:t>
      </w:r>
      <w:r>
        <w:rPr>
          <w:rFonts w:ascii="Times New Roman" w:hAnsi="Times New Roman"/>
          <w:i/>
          <w:sz w:val="26"/>
          <w:szCs w:val="26"/>
        </w:rPr>
        <w:t>показатель 2.2</w:t>
      </w:r>
      <w:r>
        <w:rPr>
          <w:rFonts w:ascii="Times New Roman" w:hAnsi="Times New Roman"/>
          <w:sz w:val="26"/>
          <w:szCs w:val="26"/>
        </w:rPr>
        <w:t xml:space="preserve">). В первую очередь, это достигается за счет соблюдения СанПиН при организации образовательной деятельности (объем нагрузки, </w:t>
      </w:r>
      <w:proofErr w:type="spellStart"/>
      <w:r>
        <w:rPr>
          <w:rFonts w:ascii="Times New Roman" w:hAnsi="Times New Roman"/>
          <w:sz w:val="26"/>
          <w:szCs w:val="26"/>
        </w:rPr>
        <w:t>здоровьесберегающий</w:t>
      </w:r>
      <w:proofErr w:type="spellEnd"/>
      <w:r>
        <w:rPr>
          <w:rFonts w:ascii="Times New Roman" w:hAnsi="Times New Roman"/>
          <w:sz w:val="26"/>
          <w:szCs w:val="26"/>
        </w:rPr>
        <w:t xml:space="preserve"> режим обучения, соблюдение норм двигательной активности), наличия программ, проектов спортивно-оздоровительной направленности, а также за счет благоприятного эмоционально-психологического климата в коллективе педагогов и обучающихся.</w:t>
      </w:r>
    </w:p>
    <w:p w:rsidR="00DB0AB4" w:rsidRDefault="00DB0AB4" w:rsidP="00DB0AB4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Третьей ключевой составляющей комфортности образовательной деятельности является наличие дополнительных образовательных программ (</w:t>
      </w:r>
      <w:r>
        <w:rPr>
          <w:rFonts w:ascii="Times New Roman" w:hAnsi="Times New Roman"/>
          <w:i/>
          <w:sz w:val="26"/>
          <w:szCs w:val="26"/>
        </w:rPr>
        <w:t>показатель 2.4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DB0AB4" w:rsidRDefault="00DB0AB4" w:rsidP="00DB0AB4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И, наконец, четвертая составляющая – это наличие возможности развития творческих способностей и интересов обучающихся (</w:t>
      </w:r>
      <w:r>
        <w:rPr>
          <w:rFonts w:ascii="Times New Roman" w:hAnsi="Times New Roman"/>
          <w:i/>
          <w:sz w:val="26"/>
          <w:szCs w:val="26"/>
        </w:rPr>
        <w:t>показатель 2.5</w:t>
      </w:r>
      <w:r>
        <w:rPr>
          <w:rFonts w:ascii="Times New Roman" w:hAnsi="Times New Roman"/>
          <w:sz w:val="26"/>
          <w:szCs w:val="26"/>
        </w:rPr>
        <w:t>): участие обучающихся в конкурсах, олимпиадах и соревнованиях регионального уровня и выше.</w:t>
      </w:r>
    </w:p>
    <w:p w:rsidR="00DB0AB4" w:rsidRDefault="00DB0AB4" w:rsidP="00DB0AB4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Проведенная</w:t>
      </w:r>
      <w:proofErr w:type="gramEnd"/>
      <w:r>
        <w:rPr>
          <w:rFonts w:ascii="Times New Roman" w:hAnsi="Times New Roman"/>
          <w:sz w:val="26"/>
          <w:szCs w:val="26"/>
        </w:rPr>
        <w:t xml:space="preserve"> НОК ОД продемонстрировала, что условия для индивидуальной работы с обучающимися имеются в образовательных организациях в среднем на 9%. При этом, в частности, право на обучение по индивидуальному учебному плану гарантируется обучающимся в соответствии с Федеральным законом от 29.12.2012 № 273-ФЗ «Об образовании в Российской Федерации». </w:t>
      </w:r>
    </w:p>
    <w:p w:rsidR="00DB0AB4" w:rsidRDefault="00DB0AB4" w:rsidP="00DB0AB4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НОК ОД возможность оказания психолого-педагогической, медицинской и социальной помощи обучающимся в образовательных организациях создана в среднем на 3 %. Низкие значения данного показателя связаны с недостаточным количеством квалифицированных кадров (педагогов-психологов, социальных педагогов, учителей-логопедов), психолого-медико-педагогических консилиумов, медицинской и социальной помощи.</w:t>
      </w:r>
    </w:p>
    <w:p w:rsidR="00DB0AB4" w:rsidRDefault="00DB0AB4" w:rsidP="00DB0AB4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Условия для организации обучения и </w:t>
      </w:r>
      <w:proofErr w:type="gramStart"/>
      <w:r>
        <w:rPr>
          <w:rFonts w:ascii="Times New Roman" w:hAnsi="Times New Roman"/>
          <w:sz w:val="26"/>
          <w:szCs w:val="26"/>
        </w:rPr>
        <w:t>воспитания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обучающихся с ОВЗ и инвалидов созданы в образовательных организациях в среднем на 6,3 %.  По данным НОК ОД в образовательных организациях, в первую очередь, отсутствуют специализированные печатные и электронные образовательные ресурсы для детей с ОВЗ по всем учебным предметам, учебно-методическая литература, а также педагогические работники, прошедшие обучение в области коррекционной педагогики; не предоставляются услуги ассистента (помощника) и специальные технические средства.  Очевидно, что не во всех образовательных организациях обучаются дети с ОВЗ или инвалидностью, однако развитие инклюзивного образования предполагает создание соответствующих условий в максимально широком круге образовательных организаций.</w:t>
      </w:r>
    </w:p>
    <w:p w:rsidR="00E13651" w:rsidRDefault="00DB0AB4" w:rsidP="00DB0AB4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показала, что наиболее комфортные условия созданы в общеобразовательных организациях. Низкие же результаты  по данному критерию показывают дошкольные и дополнительные образовательные организации. Общая оценка комфортности условий приближена к среднему уровню.</w:t>
      </w:r>
    </w:p>
    <w:p w:rsidR="00E13651" w:rsidRDefault="00E13651" w:rsidP="00E1365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Критерий в целом представлен в сводной таблице:</w:t>
      </w:r>
    </w:p>
    <w:p w:rsidR="00E13651" w:rsidRDefault="00E13651" w:rsidP="00E1365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2"/>
        <w:gridCol w:w="2126"/>
        <w:gridCol w:w="1843"/>
      </w:tblGrid>
      <w:tr w:rsidR="00E13651" w:rsidTr="00E13651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E13651" w:rsidTr="00E13651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42,35</w:t>
            </w:r>
          </w:p>
        </w:tc>
      </w:tr>
      <w:tr w:rsidR="00E13651" w:rsidTr="00E13651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2.1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5,62</w:t>
            </w:r>
          </w:p>
        </w:tc>
      </w:tr>
      <w:tr w:rsidR="00E13651" w:rsidTr="00E13651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2.2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6,53</w:t>
            </w:r>
          </w:p>
        </w:tc>
      </w:tr>
      <w:tr w:rsidR="00E13651" w:rsidTr="00E13651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2.3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Условия для индивидуальной работы с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5,86</w:t>
            </w:r>
          </w:p>
        </w:tc>
      </w:tr>
      <w:tr w:rsidR="00E13651" w:rsidTr="00E13651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2.4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Наличие дополнительных образовательных программ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7,18</w:t>
            </w:r>
          </w:p>
        </w:tc>
      </w:tr>
      <w:tr w:rsidR="00E13651" w:rsidTr="00E13651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2.5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7,29</w:t>
            </w:r>
          </w:p>
        </w:tc>
      </w:tr>
      <w:tr w:rsidR="00E13651" w:rsidTr="00E13651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2.6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обучающимся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4,60</w:t>
            </w:r>
          </w:p>
        </w:tc>
      </w:tr>
      <w:tr w:rsidR="00E13651" w:rsidTr="00E13651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2.7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5,28</w:t>
            </w:r>
          </w:p>
        </w:tc>
      </w:tr>
    </w:tbl>
    <w:p w:rsidR="00E13651" w:rsidRDefault="00E13651" w:rsidP="00DB0AB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Доброжелательность, вежливо</w:t>
      </w:r>
      <w:r w:rsidR="00DB0AB4">
        <w:rPr>
          <w:rFonts w:ascii="Times New Roman" w:hAnsi="Times New Roman"/>
          <w:b/>
          <w:sz w:val="26"/>
          <w:szCs w:val="26"/>
        </w:rPr>
        <w:t>сть и компетентность работников</w:t>
      </w:r>
    </w:p>
    <w:p w:rsidR="00DB0AB4" w:rsidRDefault="00DB0AB4" w:rsidP="00DB0AB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оценки по данному критерию проводилось анкетирование, в котором приняли участие 4524 респондента – родители обучающихся образовательных организаций, участвующих в НОК ОД, из них: 2537 родителей детей, посещающих дошкольные образовательные организации, 1143 родителя обучающихся общеобразовательных организаций и 843 родителя детей, посещающих организации дополнительного образования.</w:t>
      </w:r>
    </w:p>
    <w:p w:rsidR="00DB0AB4" w:rsidRPr="003D09E6" w:rsidRDefault="00DB0AB4" w:rsidP="00DB0AB4">
      <w:pPr>
        <w:pStyle w:val="Default"/>
        <w:ind w:firstLine="709"/>
        <w:rPr>
          <w:color w:val="auto"/>
          <w:sz w:val="26"/>
          <w:szCs w:val="26"/>
        </w:rPr>
      </w:pPr>
    </w:p>
    <w:p w:rsidR="00DB0AB4" w:rsidRDefault="00DB0AB4" w:rsidP="00DB0AB4">
      <w:pPr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444324">
        <w:rPr>
          <w:rFonts w:ascii="Times New Roman" w:hAnsi="Times New Roman"/>
          <w:i/>
          <w:sz w:val="26"/>
          <w:szCs w:val="26"/>
        </w:rPr>
        <w:t xml:space="preserve">Диаграмма 3. </w:t>
      </w:r>
      <w:r w:rsidRPr="00444324">
        <w:rPr>
          <w:rFonts w:ascii="Times New Roman" w:hAnsi="Times New Roman"/>
          <w:bCs/>
          <w:i/>
          <w:sz w:val="26"/>
          <w:szCs w:val="26"/>
        </w:rPr>
        <w:t>Процентное соотношение респондентов.</w:t>
      </w:r>
    </w:p>
    <w:p w:rsidR="00DB0AB4" w:rsidRDefault="00DB0AB4" w:rsidP="00DB0AB4">
      <w:pPr>
        <w:pStyle w:val="aa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B0AB4" w:rsidRDefault="00DB0AB4" w:rsidP="00DB0AB4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76381" cy="2432807"/>
            <wp:effectExtent l="0" t="0" r="2413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0AB4" w:rsidRDefault="00DB0AB4" w:rsidP="00DB0AB4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B0AB4" w:rsidRDefault="00DB0AB4" w:rsidP="00DB0AB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 разрезе каждой образовательной организации результаты получились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842"/>
        <w:gridCol w:w="2552"/>
      </w:tblGrid>
      <w:tr w:rsidR="00DB0AB4" w:rsidTr="00F85AA9">
        <w:trPr>
          <w:trHeight w:val="27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Наименование учреждения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Показатели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Общий показатель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3.2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17,77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18,44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18,44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19,43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18,11</w:t>
            </w:r>
          </w:p>
        </w:tc>
      </w:tr>
      <w:tr w:rsidR="00DB0AB4" w:rsidTr="00F85AA9">
        <w:trPr>
          <w:trHeight w:val="3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18,10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17,83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18,46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«Гимназия»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18,41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DB0AB4" w:rsidTr="00F85AA9">
        <w:trPr>
          <w:trHeight w:val="2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МБДОУ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19,39</w:t>
            </w:r>
          </w:p>
        </w:tc>
      </w:tr>
      <w:tr w:rsidR="00DB0AB4" w:rsidTr="00F85AA9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16,20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19,98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18,65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20,00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19,11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18,80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19,41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16,53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18,47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19,78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18,90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19,33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20,00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 ДО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19,84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Созвездие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19,96</w:t>
            </w:r>
          </w:p>
        </w:tc>
      </w:tr>
      <w:tr w:rsidR="00DB0AB4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 ДО ДООСЦ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B4" w:rsidRDefault="00DB0AB4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4" w:rsidRDefault="00DB0AB4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18,92</w:t>
            </w:r>
          </w:p>
        </w:tc>
      </w:tr>
    </w:tbl>
    <w:p w:rsidR="00DB0AB4" w:rsidRDefault="00DB0AB4" w:rsidP="00DB0AB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Высокая благоприятная атмосфера сложилась в МБОУ СОШ № 5 (среди общеобразовательных организаций) и МБУ ДО ДЮЦ «Созвездие» (среди организаций дополнительного образования). В МБДОУ № 5 и МБДОУ № 27 (среди дошкольных образовательных организаций) родители абсолютно удовлетворены атмосферой в образовательной организации.</w:t>
      </w:r>
    </w:p>
    <w:p w:rsidR="00E13651" w:rsidRDefault="00E13651" w:rsidP="00E1365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Обобщенные данные по критерию представлены в </w:t>
      </w:r>
      <w:r w:rsidR="00DB0AB4">
        <w:rPr>
          <w:rFonts w:ascii="Times New Roman" w:hAnsi="Times New Roman"/>
          <w:i/>
          <w:sz w:val="26"/>
          <w:szCs w:val="26"/>
        </w:rPr>
        <w:t>диаграмме 4</w:t>
      </w:r>
      <w:r>
        <w:rPr>
          <w:rFonts w:ascii="Times New Roman" w:hAnsi="Times New Roman"/>
          <w:sz w:val="26"/>
          <w:szCs w:val="26"/>
        </w:rPr>
        <w:t>.</w:t>
      </w:r>
    </w:p>
    <w:p w:rsidR="00E13651" w:rsidRDefault="00E13651" w:rsidP="00E13651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noProof/>
        </w:rPr>
        <w:drawing>
          <wp:inline distT="0" distB="0" distL="0" distR="0">
            <wp:extent cx="5276850" cy="39052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3651" w:rsidRPr="00DB0AB4" w:rsidRDefault="00DB0AB4" w:rsidP="00DB0AB4">
      <w:pPr>
        <w:spacing w:after="0" w:line="360" w:lineRule="auto"/>
        <w:ind w:firstLine="689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Диаграмма 4</w:t>
      </w:r>
    </w:p>
    <w:p w:rsidR="00E13651" w:rsidRDefault="00E13651" w:rsidP="00E13651">
      <w:pPr>
        <w:spacing w:after="0" w:line="36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>Результаты, представленные в диаграмме, в целом свидетельствуют о достаточно высоком уровне удовлетворенности получателей образовательных услуг доброжелательностью, вежливостью и компетентностью работников организации.</w:t>
      </w:r>
    </w:p>
    <w:p w:rsidR="00E13651" w:rsidRDefault="00E13651" w:rsidP="00E1365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Результаты опроса обучающихся и родителей образовательных организаций </w:t>
      </w:r>
      <w:r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  <w:r>
        <w:rPr>
          <w:rFonts w:ascii="Times New Roman" w:hAnsi="Times New Roman"/>
          <w:bCs/>
          <w:color w:val="000000"/>
          <w:sz w:val="26"/>
          <w:szCs w:val="26"/>
        </w:rPr>
        <w:t>свидетельствуют о наличии комфортного психологического климата в образовательных организациях.</w:t>
      </w:r>
      <w:r>
        <w:rPr>
          <w:rFonts w:ascii="Times New Roman" w:hAnsi="Times New Roman"/>
          <w:sz w:val="26"/>
          <w:szCs w:val="26"/>
        </w:rPr>
        <w:t xml:space="preserve"> Результаты опроса получателей образовательных услуг (обучающихся и родителей) свидетельствуют о преобладании в организациях благоприятного психологического климата (99%).</w:t>
      </w:r>
    </w:p>
    <w:p w:rsidR="00E13651" w:rsidRDefault="00E13651" w:rsidP="00E1365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99 % родителей и обучающихся положительно оценивают доброжелательность и вежливость работников организации.</w:t>
      </w:r>
    </w:p>
    <w:p w:rsidR="00E13651" w:rsidRDefault="00E13651" w:rsidP="00E1365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99 % получателей образовательных услуг удовлетворены компетентностью работников организации.</w:t>
      </w:r>
    </w:p>
    <w:p w:rsidR="00E13651" w:rsidRDefault="00E13651" w:rsidP="00E1365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баллы уровня доброжелательности, вежливости и компетентности работников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843"/>
      </w:tblGrid>
      <w:tr w:rsidR="00E13651" w:rsidTr="00E13651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E13651" w:rsidTr="00E13651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18,78</w:t>
            </w:r>
          </w:p>
        </w:tc>
      </w:tr>
      <w:tr w:rsidR="00E13651" w:rsidTr="00E13651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3.1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Оценка доброжелательности и вежливости работников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9,40</w:t>
            </w:r>
          </w:p>
        </w:tc>
      </w:tr>
      <w:tr w:rsidR="00E13651" w:rsidTr="00E13651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3.2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Оценка компетентности работников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9,38</w:t>
            </w:r>
          </w:p>
        </w:tc>
      </w:tr>
    </w:tbl>
    <w:p w:rsidR="00E13651" w:rsidRDefault="00E13651" w:rsidP="00E1365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51" w:rsidRDefault="00E13651" w:rsidP="00DB0AB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в процент</w:t>
      </w:r>
      <w:r w:rsidR="00DB0AB4">
        <w:rPr>
          <w:rFonts w:ascii="Times New Roman" w:hAnsi="Times New Roman"/>
          <w:sz w:val="26"/>
          <w:szCs w:val="26"/>
        </w:rPr>
        <w:t>ах (доля положительных оценок):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85"/>
        <w:gridCol w:w="3204"/>
      </w:tblGrid>
      <w:tr w:rsidR="00E13651" w:rsidTr="00E13651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Удовлетворенность</w:t>
            </w:r>
          </w:p>
        </w:tc>
      </w:tr>
      <w:tr w:rsidR="00E13651" w:rsidTr="00E13651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187,7</w:t>
            </w:r>
          </w:p>
        </w:tc>
      </w:tr>
      <w:tr w:rsidR="00E13651" w:rsidTr="00E13651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3.1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94,00</w:t>
            </w:r>
          </w:p>
        </w:tc>
      </w:tr>
      <w:tr w:rsidR="00E13651" w:rsidTr="00E13651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3.2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93,76</w:t>
            </w:r>
          </w:p>
        </w:tc>
      </w:tr>
    </w:tbl>
    <w:p w:rsidR="00E13651" w:rsidRDefault="00E13651" w:rsidP="00E1365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51" w:rsidRDefault="00E13651" w:rsidP="00E1365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Представленные данные позволяют сделать вывод о том, что результаты независимой оценки по критерию доброжелательности, вежливости, компетентности работников свидетельствуют о высоком уровне удовлетворенности получателей образовательных услуг.</w:t>
      </w:r>
    </w:p>
    <w:p w:rsidR="00E13651" w:rsidRDefault="00E13651" w:rsidP="00DB0AB4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Удовлетворенность качеством образовательной деятельности организаций</w:t>
      </w:r>
    </w:p>
    <w:p w:rsidR="00D90F86" w:rsidRDefault="00E13651" w:rsidP="00E1365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данных показателей проводилась также посредством анкетирования получателей образовательных услуг (родителей (законных представителей)). </w:t>
      </w:r>
    </w:p>
    <w:p w:rsidR="00D90F86" w:rsidRDefault="00D90F86" w:rsidP="00D90F8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 разрезе каждой образовательной организации: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842"/>
        <w:gridCol w:w="1701"/>
        <w:gridCol w:w="1418"/>
        <w:gridCol w:w="1701"/>
      </w:tblGrid>
      <w:tr w:rsidR="00D90F86" w:rsidTr="00F85AA9">
        <w:trPr>
          <w:trHeight w:val="27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Наименование учреждения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Общий показатель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  <w:t>4.3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26,81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26,92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26,72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29,09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24,68</w:t>
            </w:r>
          </w:p>
        </w:tc>
      </w:tr>
      <w:tr w:rsidR="00D90F86" w:rsidTr="00F85AA9">
        <w:trPr>
          <w:trHeight w:val="3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№12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25,81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24,80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25,95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«Гимназия»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27,67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90F86" w:rsidTr="00F85AA9">
        <w:trPr>
          <w:trHeight w:val="2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27,52</w:t>
            </w:r>
          </w:p>
        </w:tc>
      </w:tr>
      <w:tr w:rsidR="00D90F86" w:rsidTr="00F85AA9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23,54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29,89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29,36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29,98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26,60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27,10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28,14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24,64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26,29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29,55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28,91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28,92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29,79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6" w:rsidRDefault="00D90F86" w:rsidP="00F8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 ДО ДДТ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29,70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Созвездие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29,96</w:t>
            </w:r>
          </w:p>
        </w:tc>
      </w:tr>
      <w:tr w:rsidR="00D90F86" w:rsidTr="00F85AA9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 ДО ДООСЦ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86" w:rsidRDefault="00D90F86" w:rsidP="00F85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29,99</w:t>
            </w:r>
          </w:p>
        </w:tc>
      </w:tr>
    </w:tbl>
    <w:p w:rsidR="00D90F86" w:rsidRDefault="00D90F86" w:rsidP="00D90F86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E13651" w:rsidRDefault="00E13651" w:rsidP="00E1365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Обобщенные данные по критерию представлены в </w:t>
      </w:r>
      <w:r>
        <w:rPr>
          <w:rFonts w:ascii="Times New Roman" w:hAnsi="Times New Roman"/>
          <w:i/>
          <w:sz w:val="26"/>
          <w:szCs w:val="26"/>
        </w:rPr>
        <w:t>диаграмме 5</w:t>
      </w:r>
      <w:r>
        <w:rPr>
          <w:rFonts w:ascii="Times New Roman" w:hAnsi="Times New Roman"/>
          <w:sz w:val="26"/>
          <w:szCs w:val="26"/>
        </w:rPr>
        <w:t>.</w:t>
      </w:r>
    </w:p>
    <w:p w:rsidR="00E13651" w:rsidRDefault="00E13651" w:rsidP="00E1365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Диа</w:t>
      </w:r>
      <w:r w:rsidR="00D90F86">
        <w:rPr>
          <w:rFonts w:ascii="Times New Roman" w:hAnsi="Times New Roman"/>
          <w:i/>
          <w:sz w:val="26"/>
          <w:szCs w:val="26"/>
        </w:rPr>
        <w:t>грамма 5</w:t>
      </w:r>
      <w:r>
        <w:rPr>
          <w:rFonts w:ascii="Times New Roman" w:hAnsi="Times New Roman"/>
          <w:i/>
          <w:sz w:val="26"/>
          <w:szCs w:val="26"/>
        </w:rPr>
        <w:t>. Распределение получателей образовательных услуг, удовлетворенных качеством образовательной деятельности организаций</w:t>
      </w:r>
    </w:p>
    <w:p w:rsidR="00E13651" w:rsidRDefault="00E13651" w:rsidP="00E13651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38800" cy="39243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3651" w:rsidRDefault="00E13651" w:rsidP="00E13651">
      <w:pPr>
        <w:spacing w:after="0" w:line="360" w:lineRule="auto"/>
        <w:ind w:firstLine="6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Результаты, представленные в диаграмме, в целом свидетельствуют о высоком уровне удовлетворённости получателей образовательных услуг качеством образовательной деятельности. Средние значения данного критерия для разных типов организаций лежат в диапазоне от 98% до 100 %.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985"/>
        <w:gridCol w:w="1842"/>
      </w:tblGrid>
      <w:tr w:rsidR="00E13651" w:rsidTr="00E13651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Максимальный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E13651" w:rsidTr="00E13651"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27,61</w:t>
            </w:r>
          </w:p>
        </w:tc>
      </w:tr>
      <w:tr w:rsidR="00E13651" w:rsidTr="00E13651">
        <w:trPr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4.1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Оценка удовлетворения материально-техническим обеспечением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9,03</w:t>
            </w:r>
          </w:p>
        </w:tc>
      </w:tr>
      <w:tr w:rsidR="00E13651" w:rsidTr="00E13651">
        <w:trPr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Оценка удовлетворения качеством предоставляемых образовательных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9,25</w:t>
            </w:r>
          </w:p>
        </w:tc>
      </w:tr>
      <w:tr w:rsidR="00E13651" w:rsidTr="00E13651"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4.3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Оценка готовности рекомендовать организацию родственникам и знакомым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9,33</w:t>
            </w:r>
          </w:p>
        </w:tc>
      </w:tr>
    </w:tbl>
    <w:p w:rsidR="00E13651" w:rsidRDefault="00E13651" w:rsidP="00E13651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в процентном соотношении (доля положительных ответов):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2977"/>
      </w:tblGrid>
      <w:tr w:rsidR="00E13651" w:rsidTr="00E13651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Удовлетворенность</w:t>
            </w:r>
          </w:p>
        </w:tc>
      </w:tr>
      <w:tr w:rsidR="00E13651" w:rsidTr="00E13651"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Показатели, характеризующие общий критерий оценки качества образовательной деятельности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>276,1</w:t>
            </w:r>
          </w:p>
        </w:tc>
      </w:tr>
      <w:tr w:rsidR="00E13651" w:rsidTr="00E13651">
        <w:trPr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4.1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90,36</w:t>
            </w:r>
          </w:p>
        </w:tc>
      </w:tr>
      <w:tr w:rsidR="00E13651" w:rsidTr="00E13651">
        <w:trPr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4.2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92,54</w:t>
            </w:r>
          </w:p>
        </w:tc>
      </w:tr>
      <w:tr w:rsidR="00E13651" w:rsidTr="00E13651">
        <w:trPr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4.3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93,35</w:t>
            </w:r>
          </w:p>
        </w:tc>
      </w:tr>
    </w:tbl>
    <w:p w:rsidR="00E13651" w:rsidRDefault="00E13651" w:rsidP="00E136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Анализ полученных результатов свидетельствует о следующем.</w:t>
      </w:r>
    </w:p>
    <w:p w:rsidR="00E13651" w:rsidRDefault="00E13651" w:rsidP="00E13651">
      <w:pPr>
        <w:spacing w:after="0" w:line="360" w:lineRule="auto"/>
        <w:ind w:firstLine="68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>О высоком уровне удовлетворенности обучающихся и родителей образовательными организациями</w:t>
      </w:r>
      <w:r>
        <w:rPr>
          <w:rFonts w:ascii="Times New Roman" w:hAnsi="Times New Roman"/>
          <w:bCs/>
          <w:color w:val="000000"/>
          <w:sz w:val="26"/>
          <w:szCs w:val="26"/>
        </w:rPr>
        <w:t>. Большинству респондентов (98%) нравится образовательная организация, в которой они  получают образовательные услуги.  98 % родителей удовлетворены материально-техническим обеспечением организаций. Родители едины во мнении, а именно в том, что им больше всего  нравится в образовательных организациях: наличие хорошего компьютерного класса, е собственного сайта,  качественное питание, оснащенность организации новой мебелью, наличие спортивного зала. Однако в отдельных образовательных организациях выявлена большая доля респондентов, не удовлетворенных их материально-технической оснащенностью.</w:t>
      </w:r>
    </w:p>
    <w:p w:rsidR="00E13651" w:rsidRDefault="00E13651" w:rsidP="00E13651">
      <w:pPr>
        <w:spacing w:after="0" w:line="360" w:lineRule="auto"/>
        <w:ind w:firstLine="689"/>
        <w:jc w:val="both"/>
        <w:rPr>
          <w:rFonts w:ascii="Times New Roman" w:hAnsi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О высоком уровне удовлетворенности качеством образовательной деятельности.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Большинство получателей образовательных услуг (99 %) удовлетворено качеством образовательной деятельности. В среднем, 99 %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опрошенных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порекомендовали бы образовательную  организацию своим родственникам или знакомым.</w:t>
      </w:r>
    </w:p>
    <w:p w:rsidR="00E13651" w:rsidRPr="00D90F86" w:rsidRDefault="00E13651" w:rsidP="00D90F86">
      <w:pPr>
        <w:pStyle w:val="11"/>
        <w:shd w:val="clear" w:color="auto" w:fill="auto"/>
        <w:spacing w:line="240" w:lineRule="auto"/>
        <w:ind w:firstLine="689"/>
        <w:jc w:val="center"/>
        <w:rPr>
          <w:b/>
        </w:rPr>
      </w:pPr>
      <w:r w:rsidRPr="00D90F86">
        <w:rPr>
          <w:b/>
        </w:rPr>
        <w:t>Средняя оценка показателей деятельно</w:t>
      </w:r>
      <w:r w:rsidR="00D90F86">
        <w:rPr>
          <w:b/>
        </w:rPr>
        <w:t>сти образовательных организаций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986"/>
        <w:gridCol w:w="2300"/>
        <w:gridCol w:w="1529"/>
      </w:tblGrid>
      <w:tr w:rsidR="00E13651" w:rsidTr="00E13651"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Максимальный балл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Средний балл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Эффективность</w:t>
            </w:r>
            <w:proofErr w:type="gramStart"/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, (%)</w:t>
            </w:r>
            <w:proofErr w:type="gramEnd"/>
          </w:p>
        </w:tc>
      </w:tr>
      <w:tr w:rsidR="00E13651" w:rsidTr="00E13651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Показатели, характеризующие полноту, открытость и доступность информации об образовательной организации на сайте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31,32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78,3</w:t>
            </w:r>
          </w:p>
        </w:tc>
      </w:tr>
      <w:tr w:rsidR="00E13651" w:rsidTr="00E13651">
        <w:trPr>
          <w:trHeight w:val="9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42,35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60,5</w:t>
            </w:r>
          </w:p>
        </w:tc>
      </w:tr>
      <w:tr w:rsidR="00E13651" w:rsidTr="00E1365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18,78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93,9</w:t>
            </w:r>
          </w:p>
        </w:tc>
      </w:tr>
      <w:tr w:rsidR="00E13651" w:rsidTr="00E1365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27,61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51" w:rsidRDefault="00E1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92,03</w:t>
            </w:r>
          </w:p>
        </w:tc>
      </w:tr>
    </w:tbl>
    <w:p w:rsidR="00E13651" w:rsidRDefault="00E13651" w:rsidP="00E13651">
      <w:pPr>
        <w:pStyle w:val="11"/>
        <w:shd w:val="clear" w:color="auto" w:fill="auto"/>
        <w:spacing w:line="300" w:lineRule="auto"/>
        <w:ind w:left="20" w:right="40" w:firstLine="689"/>
      </w:pPr>
    </w:p>
    <w:p w:rsidR="00E13651" w:rsidRDefault="00E13651" w:rsidP="00E13651">
      <w:pPr>
        <w:pStyle w:val="11"/>
        <w:shd w:val="clear" w:color="auto" w:fill="auto"/>
        <w:spacing w:line="360" w:lineRule="auto"/>
        <w:ind w:firstLine="692"/>
      </w:pPr>
      <w:r>
        <w:t>Общая оценка эффективности деятельности образовательных организаций составляет 75 %.</w:t>
      </w:r>
    </w:p>
    <w:p w:rsidR="00874A3F" w:rsidRDefault="00874A3F" w:rsidP="00D90F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4A3F" w:rsidRDefault="00874A3F" w:rsidP="00D90F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0F86" w:rsidRDefault="00D90F86" w:rsidP="00D90F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КАЧЕСТВА ОБРАЗОВАТЕЛЬНЫХ УСЛУГ   ОБРАЗОВАТЕЛЬНЫХ ОРГАНИЗАЦИЙ, ОСУЩЕСТВЛЯЮЩИХ ОБРАЗОВАТЕЛЬНУЮ ДЕЯТЕЛЬНОСТЬ НА ТЕРРИТОРИИ ГОРОДСКОГО ОКРУГА </w:t>
      </w:r>
      <w:proofErr w:type="gramStart"/>
      <w:r>
        <w:rPr>
          <w:rFonts w:ascii="Times New Roman" w:hAnsi="Times New Roman"/>
          <w:b/>
          <w:sz w:val="24"/>
          <w:szCs w:val="24"/>
        </w:rPr>
        <w:t>СПАССК-ДАЛЬНИЙ</w:t>
      </w:r>
      <w:proofErr w:type="gramEnd"/>
    </w:p>
    <w:p w:rsidR="000A585C" w:rsidRDefault="000A585C" w:rsidP="000A58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c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Образовательная организация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Интегральный показатель качества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122,97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126,94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131,46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132,67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120,78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МБОУ СОШ №12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116,33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116,16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123,69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«Гимназия»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128,21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108,42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95,25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125,86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121,29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126,25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116,70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107,53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121,76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102,05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112,11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123,54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122,09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127,90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121,64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 ДО ДДТ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124,49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Созвездие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121,65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 ДО ДООСЦ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124,48</w:t>
            </w:r>
          </w:p>
        </w:tc>
      </w:tr>
      <w:tr w:rsidR="000A585C" w:rsidTr="000A58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Среднее значение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120,07</w:t>
            </w:r>
          </w:p>
        </w:tc>
      </w:tr>
    </w:tbl>
    <w:p w:rsidR="000A585C" w:rsidRDefault="000A585C" w:rsidP="000A58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85C" w:rsidRDefault="000A585C" w:rsidP="000A58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A585C" w:rsidRDefault="000A585C" w:rsidP="000A58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85C" w:rsidRDefault="000A585C" w:rsidP="000A58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 ОБРАЗОВАТЕЛЬНЫХ ОРГАНИЗАЦИЙ, ОСУЩЕСТВЛЯЮЩИХ ОБРАЗОВАТЕЛЬНУЮ ДЕЯТЕЛЬНОСТЬ НА ТЕРРИТОРИИ ГОРОДСКОГО ОКРУГА </w:t>
      </w:r>
      <w:proofErr w:type="gramStart"/>
      <w:r>
        <w:rPr>
          <w:rFonts w:ascii="Times New Roman" w:hAnsi="Times New Roman"/>
          <w:b/>
          <w:sz w:val="24"/>
          <w:szCs w:val="24"/>
        </w:rPr>
        <w:t>СПАССК-ДАЛЬНИЙ</w:t>
      </w:r>
      <w:proofErr w:type="gramEnd"/>
    </w:p>
    <w:p w:rsidR="000A585C" w:rsidRDefault="000A585C" w:rsidP="000A58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85C" w:rsidRDefault="000A585C" w:rsidP="000A58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c"/>
        <w:tblW w:w="9464" w:type="dxa"/>
        <w:tblLook w:val="04A0" w:firstRow="1" w:lastRow="0" w:firstColumn="1" w:lastColumn="0" w:noHBand="0" w:noVBand="1"/>
      </w:tblPr>
      <w:tblGrid>
        <w:gridCol w:w="3227"/>
        <w:gridCol w:w="2977"/>
        <w:gridCol w:w="3260"/>
      </w:tblGrid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Образовательная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Интегральный показатель качества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Рейтинг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132,67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131,46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«Гимназия»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128,21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127,90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126,94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126,25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125,86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 ДО ДДТ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124,49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 ДО ДООСЦ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124,48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№15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123,69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123,54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122,97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МБДОУ №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122,09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121,76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Созвездие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121,65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121,64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121,29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120,78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116,70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МБОУ СОШ №12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116,33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5C" w:rsidRDefault="000A5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МБОУ СОШ №14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116,16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112,11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108,42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107,53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102,05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0A585C" w:rsidTr="000A5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МБДОУ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95,25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85C" w:rsidRDefault="000A58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</w:tr>
    </w:tbl>
    <w:p w:rsidR="00D90F86" w:rsidRDefault="00D90F86" w:rsidP="00D90F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90F86" w:rsidSect="00221B2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FD" w:rsidRDefault="00646CFD" w:rsidP="00D90F86">
      <w:pPr>
        <w:spacing w:after="0" w:line="240" w:lineRule="auto"/>
      </w:pPr>
      <w:r>
        <w:separator/>
      </w:r>
    </w:p>
  </w:endnote>
  <w:endnote w:type="continuationSeparator" w:id="0">
    <w:p w:rsidR="00646CFD" w:rsidRDefault="00646CFD" w:rsidP="00D9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959500"/>
      <w:docPartObj>
        <w:docPartGallery w:val="Page Numbers (Bottom of Page)"/>
        <w:docPartUnique/>
      </w:docPartObj>
    </w:sdtPr>
    <w:sdtEndPr/>
    <w:sdtContent>
      <w:p w:rsidR="00D90F86" w:rsidRDefault="00221B26">
        <w:pPr>
          <w:pStyle w:val="af8"/>
          <w:jc w:val="center"/>
        </w:pPr>
        <w:r>
          <w:fldChar w:fldCharType="begin"/>
        </w:r>
        <w:r w:rsidR="00D90F86">
          <w:instrText>PAGE   \* MERGEFORMAT</w:instrText>
        </w:r>
        <w:r>
          <w:fldChar w:fldCharType="separate"/>
        </w:r>
        <w:r w:rsidR="000A585C">
          <w:rPr>
            <w:noProof/>
          </w:rPr>
          <w:t>16</w:t>
        </w:r>
        <w:r>
          <w:fldChar w:fldCharType="end"/>
        </w:r>
      </w:p>
    </w:sdtContent>
  </w:sdt>
  <w:p w:rsidR="00D90F86" w:rsidRDefault="00D90F8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FD" w:rsidRDefault="00646CFD" w:rsidP="00D90F86">
      <w:pPr>
        <w:spacing w:after="0" w:line="240" w:lineRule="auto"/>
      </w:pPr>
      <w:r>
        <w:separator/>
      </w:r>
    </w:p>
  </w:footnote>
  <w:footnote w:type="continuationSeparator" w:id="0">
    <w:p w:rsidR="00646CFD" w:rsidRDefault="00646CFD" w:rsidP="00D90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690"/>
    <w:rsid w:val="000A585C"/>
    <w:rsid w:val="001202A5"/>
    <w:rsid w:val="00221B26"/>
    <w:rsid w:val="00242E66"/>
    <w:rsid w:val="005964FB"/>
    <w:rsid w:val="005D6690"/>
    <w:rsid w:val="00641996"/>
    <w:rsid w:val="00646CFD"/>
    <w:rsid w:val="007A7542"/>
    <w:rsid w:val="00874A3F"/>
    <w:rsid w:val="008E40DC"/>
    <w:rsid w:val="00A03DB6"/>
    <w:rsid w:val="00D90F86"/>
    <w:rsid w:val="00DB0AB4"/>
    <w:rsid w:val="00E00C93"/>
    <w:rsid w:val="00E1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2A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2A5"/>
    <w:pPr>
      <w:spacing w:before="200" w:after="0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2A5"/>
    <w:pPr>
      <w:spacing w:before="200" w:after="0" w:line="271" w:lineRule="auto"/>
      <w:outlineLvl w:val="2"/>
    </w:pPr>
    <w:rPr>
      <w:rFonts w:ascii="Cambria" w:hAnsi="Cambria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2A5"/>
    <w:pPr>
      <w:spacing w:before="200" w:after="0"/>
      <w:outlineLvl w:val="3"/>
    </w:pPr>
    <w:rPr>
      <w:rFonts w:ascii="Cambria" w:hAnsi="Cambria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2A5"/>
    <w:pPr>
      <w:spacing w:before="200" w:after="0"/>
      <w:outlineLvl w:val="4"/>
    </w:pPr>
    <w:rPr>
      <w:rFonts w:ascii="Cambria" w:hAnsi="Cambria"/>
      <w:b/>
      <w:bCs/>
      <w:color w:val="7F7F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2A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2A5"/>
    <w:pPr>
      <w:spacing w:after="0"/>
      <w:outlineLvl w:val="6"/>
    </w:pPr>
    <w:rPr>
      <w:rFonts w:ascii="Cambria" w:hAnsi="Cambria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2A5"/>
    <w:pPr>
      <w:spacing w:after="0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2A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02A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202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202A5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1202A5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1202A5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1202A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1202A5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1202A5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202A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02A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1202A5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02A5"/>
    <w:pPr>
      <w:spacing w:after="600"/>
    </w:pPr>
    <w:rPr>
      <w:rFonts w:ascii="Cambria" w:hAnsi="Cambria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1202A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02A5"/>
    <w:rPr>
      <w:b/>
      <w:bCs/>
    </w:rPr>
  </w:style>
  <w:style w:type="character" w:styleId="a8">
    <w:name w:val="Emphasis"/>
    <w:uiPriority w:val="20"/>
    <w:qFormat/>
    <w:rsid w:val="001202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02A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a">
    <w:name w:val="List Paragraph"/>
    <w:basedOn w:val="a"/>
    <w:uiPriority w:val="34"/>
    <w:qFormat/>
    <w:rsid w:val="001202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202A5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1202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02A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ac">
    <w:name w:val="Выделенная цитата Знак"/>
    <w:link w:val="ab"/>
    <w:uiPriority w:val="30"/>
    <w:rsid w:val="001202A5"/>
    <w:rPr>
      <w:b/>
      <w:bCs/>
      <w:i/>
      <w:iCs/>
    </w:rPr>
  </w:style>
  <w:style w:type="character" w:styleId="ad">
    <w:name w:val="Subtle Emphasis"/>
    <w:uiPriority w:val="19"/>
    <w:qFormat/>
    <w:rsid w:val="001202A5"/>
    <w:rPr>
      <w:i/>
      <w:iCs/>
    </w:rPr>
  </w:style>
  <w:style w:type="character" w:styleId="ae">
    <w:name w:val="Intense Emphasis"/>
    <w:uiPriority w:val="21"/>
    <w:qFormat/>
    <w:rsid w:val="001202A5"/>
    <w:rPr>
      <w:b/>
      <w:bCs/>
    </w:rPr>
  </w:style>
  <w:style w:type="character" w:styleId="af">
    <w:name w:val="Subtle Reference"/>
    <w:uiPriority w:val="31"/>
    <w:qFormat/>
    <w:rsid w:val="001202A5"/>
    <w:rPr>
      <w:smallCaps/>
    </w:rPr>
  </w:style>
  <w:style w:type="character" w:styleId="af0">
    <w:name w:val="Intense Reference"/>
    <w:uiPriority w:val="32"/>
    <w:qFormat/>
    <w:rsid w:val="001202A5"/>
    <w:rPr>
      <w:smallCaps/>
      <w:spacing w:val="5"/>
      <w:u w:val="single"/>
    </w:rPr>
  </w:style>
  <w:style w:type="character" w:styleId="af1">
    <w:name w:val="Book Title"/>
    <w:uiPriority w:val="33"/>
    <w:qFormat/>
    <w:rsid w:val="001202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02A5"/>
    <w:pPr>
      <w:outlineLvl w:val="9"/>
    </w:pPr>
    <w:rPr>
      <w:lang w:bidi="en-US"/>
    </w:rPr>
  </w:style>
  <w:style w:type="character" w:customStyle="1" w:styleId="af3">
    <w:name w:val="Текст сноски Знак"/>
    <w:basedOn w:val="a0"/>
    <w:link w:val="af4"/>
    <w:uiPriority w:val="99"/>
    <w:semiHidden/>
    <w:rsid w:val="00E13651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uiPriority w:val="99"/>
    <w:semiHidden/>
    <w:unhideWhenUsed/>
    <w:rsid w:val="00E13651"/>
    <w:pPr>
      <w:spacing w:after="0" w:line="240" w:lineRule="auto"/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6"/>
    <w:uiPriority w:val="99"/>
    <w:rsid w:val="00E13651"/>
    <w:rPr>
      <w:rFonts w:ascii="Calibri" w:eastAsia="Times New Roman" w:hAnsi="Calibri" w:cs="Times New Roman"/>
      <w:lang w:eastAsia="ru-RU"/>
    </w:rPr>
  </w:style>
  <w:style w:type="paragraph" w:styleId="af6">
    <w:name w:val="header"/>
    <w:basedOn w:val="a"/>
    <w:link w:val="af5"/>
    <w:uiPriority w:val="99"/>
    <w:unhideWhenUsed/>
    <w:rsid w:val="00E1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8"/>
    <w:uiPriority w:val="99"/>
    <w:rsid w:val="00E1365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7"/>
    <w:uiPriority w:val="99"/>
    <w:unhideWhenUsed/>
    <w:rsid w:val="00E1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3">
    <w:name w:val="Основной текст с отступом 2 Знак"/>
    <w:basedOn w:val="a0"/>
    <w:link w:val="24"/>
    <w:semiHidden/>
    <w:rsid w:val="00E13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E13651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E13651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E1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1"/>
    <w:locked/>
    <w:rsid w:val="00E13651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b"/>
    <w:rsid w:val="00E13651"/>
    <w:pPr>
      <w:shd w:val="clear" w:color="auto" w:fill="FFFFFF"/>
      <w:spacing w:after="0" w:line="485" w:lineRule="exact"/>
      <w:ind w:firstLine="600"/>
      <w:jc w:val="both"/>
    </w:pPr>
    <w:rPr>
      <w:rFonts w:ascii="Times New Roman" w:hAnsi="Times New Roman"/>
      <w:spacing w:val="-1"/>
      <w:sz w:val="26"/>
      <w:szCs w:val="26"/>
      <w:lang w:eastAsia="en-US"/>
    </w:rPr>
  </w:style>
  <w:style w:type="character" w:customStyle="1" w:styleId="11pt">
    <w:name w:val="Основной текст + 11 pt"/>
    <w:aliases w:val="Полужирный"/>
    <w:basedOn w:val="afb"/>
    <w:rsid w:val="00E136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Основной текст (3) + Не курсив"/>
    <w:basedOn w:val="a0"/>
    <w:rsid w:val="00E1365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Default">
    <w:name w:val="Default"/>
    <w:rsid w:val="00E13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c">
    <w:name w:val="Table Grid"/>
    <w:basedOn w:val="a1"/>
    <w:uiPriority w:val="59"/>
    <w:rsid w:val="00D9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92;&#1086;&#1088;&#1084;&#1091;&#1083;&#1099;\&#1053;&#1054;&#1050;&#1054;_&#1076;&#1086;&#1087;%20-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92;&#1086;&#1088;&#1084;&#1091;&#1083;&#1099;\&#1053;&#1054;&#1050;&#1054;_&#1076;&#1086;&#1087;%20-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3;&#1054;&#1050;&#1086;\&#1053;&#1072;&#1096;%20&#1086;&#1090;&#1095;&#1077;&#1090;\&#1092;&#1086;&#1088;&#1084;&#1091;&#1083;&#1099;\&#1050;&#1086;&#1087;&#1080;&#1103;%20&#1056;&#1077;&#1085;&#1082;&#1080;&#1085;&#1075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3;&#1054;&#1050;&#1086;\&#1053;&#1072;&#1096;%20&#1086;&#1090;&#1095;&#1077;&#1090;\&#1092;&#1086;&#1088;&#1084;&#1091;&#1083;&#1099;\&#1050;&#1086;&#1087;&#1080;&#1103;%20&#1056;&#1077;&#1085;&#1082;&#1080;&#1085;&#1075;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3;&#1054;&#1050;&#1086;\&#1053;&#1072;&#1096;%20&#1086;&#1090;&#1095;&#1077;&#1090;\&#1092;&#1086;&#1088;&#1084;&#1091;&#1083;&#1099;\&#1050;&#1086;&#1087;&#1080;&#1103;%20&#1056;&#1077;&#1085;&#1082;&#1080;&#1085;&#1075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9,45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8,09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5,27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Лист1!$B$30:$E$30</c:f>
              <c:strCache>
                <c:ptCount val="4"/>
                <c:pt idx="0">
                  <c:v>показатель 1.1</c:v>
                </c:pt>
                <c:pt idx="1">
                  <c:v>показатель1.2</c:v>
                </c:pt>
                <c:pt idx="2">
                  <c:v>показатель 1.3</c:v>
                </c:pt>
                <c:pt idx="3">
                  <c:v>показатель 1.4</c:v>
                </c:pt>
              </c:strCache>
            </c:strRef>
          </c:cat>
          <c:val>
            <c:numRef>
              <c:f>Лист1!$B$31:$E$31</c:f>
              <c:numCache>
                <c:formatCode>0.00</c:formatCode>
                <c:ptCount val="4"/>
                <c:pt idx="0">
                  <c:v>9.1026923076923065</c:v>
                </c:pt>
                <c:pt idx="1">
                  <c:v>8.166923076923073</c:v>
                </c:pt>
                <c:pt idx="2">
                  <c:v>7.7488461538461539</c:v>
                </c:pt>
                <c:pt idx="3">
                  <c:v>5.0803846153846184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2238208"/>
        <c:axId val="103059456"/>
      </c:barChart>
      <c:catAx>
        <c:axId val="20223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059456"/>
        <c:crosses val="autoZero"/>
        <c:auto val="1"/>
        <c:lblAlgn val="ctr"/>
        <c:lblOffset val="100"/>
        <c:noMultiLvlLbl val="0"/>
      </c:catAx>
      <c:valAx>
        <c:axId val="103059456"/>
        <c:scaling>
          <c:orientation val="minMax"/>
          <c:max val="10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202238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4,60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Лист2!$C$33:$I$33</c:f>
              <c:strCache>
                <c:ptCount val="7"/>
                <c:pt idx="0">
                  <c:v>показатель 2.1</c:v>
                </c:pt>
                <c:pt idx="1">
                  <c:v>показатель 2.2</c:v>
                </c:pt>
                <c:pt idx="2">
                  <c:v>показатель 2.3</c:v>
                </c:pt>
                <c:pt idx="3">
                  <c:v>показатель 2.4</c:v>
                </c:pt>
                <c:pt idx="4">
                  <c:v>показатель 2.5</c:v>
                </c:pt>
                <c:pt idx="5">
                  <c:v>показатель 2.6</c:v>
                </c:pt>
                <c:pt idx="6">
                  <c:v>показатель 2.7</c:v>
                </c:pt>
              </c:strCache>
            </c:strRef>
          </c:cat>
          <c:val>
            <c:numRef>
              <c:f>Лист2!$C$34:$I$34</c:f>
              <c:numCache>
                <c:formatCode>0.00</c:formatCode>
                <c:ptCount val="7"/>
                <c:pt idx="0">
                  <c:v>5.6161538461538445</c:v>
                </c:pt>
                <c:pt idx="1">
                  <c:v>6.5326923076923133</c:v>
                </c:pt>
                <c:pt idx="2">
                  <c:v>5.8580769230769052</c:v>
                </c:pt>
                <c:pt idx="3">
                  <c:v>7.1826923076923084</c:v>
                </c:pt>
                <c:pt idx="4">
                  <c:v>7.2865384615384619</c:v>
                </c:pt>
                <c:pt idx="5">
                  <c:v>4.5973076923076919</c:v>
                </c:pt>
                <c:pt idx="6">
                  <c:v>5.2807692307692324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067008"/>
        <c:axId val="103068800"/>
      </c:barChart>
      <c:catAx>
        <c:axId val="103067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068800"/>
        <c:crosses val="autoZero"/>
        <c:auto val="1"/>
        <c:lblAlgn val="ctr"/>
        <c:lblOffset val="100"/>
        <c:noMultiLvlLbl val="0"/>
      </c:catAx>
      <c:valAx>
        <c:axId val="103068800"/>
        <c:scaling>
          <c:orientation val="minMax"/>
          <c:max val="10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03067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929706577472912E-2"/>
          <c:y val="4.5732446564089452E-2"/>
          <c:w val="0.95730460409030282"/>
          <c:h val="0.7120389833315341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9"/>
          </c:dPt>
          <c:dPt>
            <c:idx val="1"/>
            <c:bubble3D val="0"/>
            <c:explosion val="60"/>
          </c:dPt>
          <c:dPt>
            <c:idx val="2"/>
            <c:bubble3D val="0"/>
            <c:explosion val="18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Лист4!$C$5:$C$7</c:f>
              <c:strCache>
                <c:ptCount val="3"/>
                <c:pt idx="0">
                  <c:v>Общеобразовательные организации</c:v>
                </c:pt>
                <c:pt idx="1">
                  <c:v>Дошкольные образовательные организации</c:v>
                </c:pt>
                <c:pt idx="2">
                  <c:v>Организации дополнительного образования</c:v>
                </c:pt>
              </c:strCache>
            </c:strRef>
          </c:cat>
          <c:val>
            <c:numRef>
              <c:f>Лист4!$D$5:$D$7</c:f>
              <c:numCache>
                <c:formatCode>0%</c:formatCode>
                <c:ptCount val="3"/>
                <c:pt idx="0">
                  <c:v>0.25265251989389931</c:v>
                </c:pt>
                <c:pt idx="1">
                  <c:v>0.56078691423519211</c:v>
                </c:pt>
                <c:pt idx="2">
                  <c:v>0.18633952254641944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7.5801516936367233E-2"/>
          <c:y val="0.78944524546578365"/>
          <c:w val="0.84839680079360169"/>
          <c:h val="0.1890204372540303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Лист4!$C$12</c:f>
              <c:strCache>
                <c:ptCount val="1"/>
                <c:pt idx="0">
                  <c:v>Общеобразовательные организации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95228628230619E-3"/>
                  <c:y val="1.5031941099410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Лист4!$D$12:$F$12</c:f>
              <c:numCache>
                <c:formatCode>0%</c:formatCode>
                <c:ptCount val="3"/>
                <c:pt idx="0">
                  <c:v>0.99</c:v>
                </c:pt>
                <c:pt idx="1">
                  <c:v>0.99</c:v>
                </c:pt>
                <c:pt idx="2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Лист4!$C$13</c:f>
              <c:strCache>
                <c:ptCount val="1"/>
                <c:pt idx="0">
                  <c:v>Дошкольные образовательные организации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7.9522831577344532E-3"/>
                  <c:y val="3.0063882198820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Лист4!$D$13:$F$13</c:f>
              <c:numCache>
                <c:formatCode>0%</c:formatCode>
                <c:ptCount val="3"/>
                <c:pt idx="0">
                  <c:v>0.99</c:v>
                </c:pt>
                <c:pt idx="1">
                  <c:v>0.99</c:v>
                </c:pt>
                <c:pt idx="2">
                  <c:v>0.99</c:v>
                </c:pt>
              </c:numCache>
            </c:numRef>
          </c:val>
        </c:ser>
        <c:ser>
          <c:idx val="2"/>
          <c:order val="2"/>
          <c:tx>
            <c:strRef>
              <c:f>Лист4!$C$14</c:f>
              <c:strCache>
                <c:ptCount val="1"/>
                <c:pt idx="0">
                  <c:v>Организации дополнительного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015241882041339E-3"/>
                  <c:y val="-1.803856604277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03048376408221E-2"/>
                  <c:y val="-1.5031941099410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Лист4!$D$14:$F$14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03237120"/>
        <c:axId val="103238656"/>
      </c:barChart>
      <c:catAx>
        <c:axId val="10323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3238656"/>
        <c:crosses val="autoZero"/>
        <c:auto val="1"/>
        <c:lblAlgn val="ctr"/>
        <c:lblOffset val="100"/>
        <c:noMultiLvlLbl val="0"/>
      </c:catAx>
      <c:valAx>
        <c:axId val="103238656"/>
        <c:scaling>
          <c:orientation val="minMax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3237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6757493397851654E-2"/>
          <c:y val="0.85185412799009885"/>
          <c:w val="0.80648485603833975"/>
          <c:h val="0.131885709408275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Лист3!$S$39</c:f>
              <c:strCache>
                <c:ptCount val="1"/>
                <c:pt idx="0">
                  <c:v>Общеобразовательные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Лист3!$T$38:$W$38</c:f>
              <c:strCache>
                <c:ptCount val="4"/>
                <c:pt idx="0">
                  <c:v>Критерий в целом                </c:v>
                </c:pt>
                <c:pt idx="1">
                  <c:v>Показатель 4.1.                      </c:v>
                </c:pt>
                <c:pt idx="2">
                  <c:v>Показатель 4.2.                            </c:v>
                </c:pt>
                <c:pt idx="3">
                  <c:v>Показатель 4.3.                          </c:v>
                </c:pt>
              </c:strCache>
            </c:strRef>
          </c:cat>
          <c:val>
            <c:numRef>
              <c:f>Лист3!$T$39:$W$39</c:f>
              <c:numCache>
                <c:formatCode>0%</c:formatCode>
                <c:ptCount val="4"/>
                <c:pt idx="0">
                  <c:v>0.98</c:v>
                </c:pt>
                <c:pt idx="1">
                  <c:v>0.97000000000000064</c:v>
                </c:pt>
                <c:pt idx="2">
                  <c:v>0.9911111111111105</c:v>
                </c:pt>
                <c:pt idx="3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Лист3!$S$40</c:f>
              <c:strCache>
                <c:ptCount val="1"/>
                <c:pt idx="0">
                  <c:v>Дошкольные образовательные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Лист3!$T$38:$W$38</c:f>
              <c:strCache>
                <c:ptCount val="4"/>
                <c:pt idx="0">
                  <c:v>Критерий в целом                </c:v>
                </c:pt>
                <c:pt idx="1">
                  <c:v>Показатель 4.1.                      </c:v>
                </c:pt>
                <c:pt idx="2">
                  <c:v>Показатель 4.2.                            </c:v>
                </c:pt>
                <c:pt idx="3">
                  <c:v>Показатель 4.3.                          </c:v>
                </c:pt>
              </c:strCache>
            </c:strRef>
          </c:cat>
          <c:val>
            <c:numRef>
              <c:f>Лист3!$T$40:$W$40</c:f>
              <c:numCache>
                <c:formatCode>0%</c:formatCode>
                <c:ptCount val="4"/>
                <c:pt idx="0">
                  <c:v>0.99</c:v>
                </c:pt>
                <c:pt idx="1">
                  <c:v>0.98</c:v>
                </c:pt>
                <c:pt idx="2">
                  <c:v>0.99</c:v>
                </c:pt>
                <c:pt idx="3">
                  <c:v>0.99</c:v>
                </c:pt>
              </c:numCache>
            </c:numRef>
          </c:val>
        </c:ser>
        <c:ser>
          <c:idx val="2"/>
          <c:order val="2"/>
          <c:tx>
            <c:strRef>
              <c:f>Лист3!$S$41</c:f>
              <c:strCache>
                <c:ptCount val="1"/>
                <c:pt idx="0">
                  <c:v>Организации дополнительного образования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Лист3!$T$38:$W$38</c:f>
              <c:strCache>
                <c:ptCount val="4"/>
                <c:pt idx="0">
                  <c:v>Критерий в целом                </c:v>
                </c:pt>
                <c:pt idx="1">
                  <c:v>Показатель 4.1.                      </c:v>
                </c:pt>
                <c:pt idx="2">
                  <c:v>Показатель 4.2.                            </c:v>
                </c:pt>
                <c:pt idx="3">
                  <c:v>Показатель 4.3.                          </c:v>
                </c:pt>
              </c:strCache>
            </c:strRef>
          </c:cat>
          <c:val>
            <c:numRef>
              <c:f>Лист3!$T$41:$W$41</c:f>
              <c:numCache>
                <c:formatCode>0%</c:formatCode>
                <c:ptCount val="4"/>
                <c:pt idx="0">
                  <c:v>1</c:v>
                </c:pt>
                <c:pt idx="1">
                  <c:v>0.99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273984"/>
        <c:axId val="103275520"/>
      </c:barChart>
      <c:catAx>
        <c:axId val="103273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275520"/>
        <c:crosses val="autoZero"/>
        <c:auto val="1"/>
        <c:lblAlgn val="ctr"/>
        <c:lblOffset val="100"/>
        <c:noMultiLvlLbl val="0"/>
      </c:catAx>
      <c:valAx>
        <c:axId val="103275520"/>
        <c:scaling>
          <c:orientation val="minMax"/>
          <c:max val="1.0049999999999959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32739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38734799705326"/>
          <c:y val="0.802806288199989"/>
          <c:w val="0.79225301717662766"/>
          <c:h val="0.160632006151249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Олеся Александровна</cp:lastModifiedBy>
  <cp:revision>7</cp:revision>
  <cp:lastPrinted>2016-12-14T05:33:00Z</cp:lastPrinted>
  <dcterms:created xsi:type="dcterms:W3CDTF">2016-12-12T10:21:00Z</dcterms:created>
  <dcterms:modified xsi:type="dcterms:W3CDTF">2016-12-14T05:35:00Z</dcterms:modified>
</cp:coreProperties>
</file>