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8" w:rsidRDefault="00726A68" w:rsidP="00726A6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</w:t>
      </w:r>
    </w:p>
    <w:p w:rsidR="0089727D" w:rsidRDefault="00726A68" w:rsidP="0089727D">
      <w:pPr>
        <w:pStyle w:val="Default"/>
        <w:jc w:val="center"/>
        <w:rPr>
          <w:b/>
          <w:bCs/>
          <w:sz w:val="26"/>
          <w:szCs w:val="26"/>
        </w:rPr>
      </w:pPr>
      <w:r w:rsidRPr="0089727D">
        <w:rPr>
          <w:b/>
          <w:bCs/>
          <w:sz w:val="26"/>
          <w:szCs w:val="26"/>
        </w:rPr>
        <w:t xml:space="preserve">о состоянии и развитии конкурентной среды на рынках товаров, работ и услуг </w:t>
      </w:r>
      <w:r w:rsidR="0089727D" w:rsidRPr="0089727D">
        <w:rPr>
          <w:b/>
          <w:bCs/>
          <w:sz w:val="26"/>
          <w:szCs w:val="26"/>
        </w:rPr>
        <w:t>на территории городского округа Спасск-Дальний</w:t>
      </w:r>
      <w:r w:rsidR="007238C4">
        <w:rPr>
          <w:b/>
          <w:bCs/>
          <w:sz w:val="26"/>
          <w:szCs w:val="26"/>
        </w:rPr>
        <w:t xml:space="preserve"> за 2018 год</w:t>
      </w:r>
    </w:p>
    <w:p w:rsidR="0089727D" w:rsidRPr="0089727D" w:rsidRDefault="0089727D" w:rsidP="0089727D">
      <w:pPr>
        <w:pStyle w:val="Default"/>
        <w:jc w:val="center"/>
        <w:rPr>
          <w:b/>
          <w:bCs/>
          <w:sz w:val="26"/>
          <w:szCs w:val="26"/>
        </w:rPr>
      </w:pPr>
    </w:p>
    <w:p w:rsidR="00726A68" w:rsidRDefault="0089727D" w:rsidP="0019155C">
      <w:pPr>
        <w:pStyle w:val="Default"/>
        <w:spacing w:line="360" w:lineRule="auto"/>
        <w:ind w:firstLine="709"/>
        <w:jc w:val="both"/>
        <w:rPr>
          <w:iCs/>
          <w:sz w:val="26"/>
          <w:szCs w:val="26"/>
          <w:lang w:eastAsia="ru-RU"/>
        </w:rPr>
      </w:pPr>
      <w:r w:rsidRPr="0089727D">
        <w:rPr>
          <w:iCs/>
          <w:sz w:val="26"/>
          <w:szCs w:val="26"/>
          <w:lang w:eastAsia="ru-RU"/>
        </w:rPr>
        <w:t xml:space="preserve">По данным Территориального органа Федеральной службы государственной статистики по Приморскому краю в </w:t>
      </w:r>
      <w:r>
        <w:rPr>
          <w:iCs/>
          <w:sz w:val="26"/>
          <w:szCs w:val="26"/>
          <w:lang w:eastAsia="ru-RU"/>
        </w:rPr>
        <w:t>городском округе Спасск-Дальний</w:t>
      </w:r>
      <w:r w:rsidRPr="0089727D">
        <w:rPr>
          <w:iCs/>
          <w:sz w:val="26"/>
          <w:szCs w:val="26"/>
          <w:lang w:eastAsia="ru-RU"/>
        </w:rPr>
        <w:t xml:space="preserve"> на </w:t>
      </w:r>
      <w:r w:rsidR="004E06D5">
        <w:rPr>
          <w:iCs/>
          <w:sz w:val="26"/>
          <w:szCs w:val="26"/>
          <w:lang w:eastAsia="ru-RU"/>
        </w:rPr>
        <w:t>01.0</w:t>
      </w:r>
      <w:r w:rsidR="00214968">
        <w:rPr>
          <w:iCs/>
          <w:sz w:val="26"/>
          <w:szCs w:val="26"/>
          <w:lang w:eastAsia="ru-RU"/>
        </w:rPr>
        <w:t>1</w:t>
      </w:r>
      <w:r w:rsidRPr="0089727D">
        <w:rPr>
          <w:iCs/>
          <w:sz w:val="26"/>
          <w:szCs w:val="26"/>
          <w:lang w:eastAsia="ru-RU"/>
        </w:rPr>
        <w:t>.201</w:t>
      </w:r>
      <w:r w:rsidR="0010547E">
        <w:rPr>
          <w:iCs/>
          <w:sz w:val="26"/>
          <w:szCs w:val="26"/>
          <w:lang w:eastAsia="ru-RU"/>
        </w:rPr>
        <w:t>9</w:t>
      </w:r>
      <w:r w:rsidRPr="0089727D">
        <w:rPr>
          <w:iCs/>
          <w:sz w:val="26"/>
          <w:szCs w:val="26"/>
          <w:lang w:eastAsia="ru-RU"/>
        </w:rPr>
        <w:t xml:space="preserve"> года в Статистическом  регистре хозяйствующих субъектов зарегистрировано </w:t>
      </w:r>
      <w:r w:rsidR="0010547E">
        <w:rPr>
          <w:iCs/>
          <w:sz w:val="26"/>
          <w:szCs w:val="26"/>
          <w:lang w:eastAsia="ru-RU"/>
        </w:rPr>
        <w:t>464</w:t>
      </w:r>
      <w:r>
        <w:rPr>
          <w:iCs/>
          <w:sz w:val="26"/>
          <w:szCs w:val="26"/>
          <w:lang w:eastAsia="ru-RU"/>
        </w:rPr>
        <w:t xml:space="preserve"> </w:t>
      </w:r>
      <w:r w:rsidRPr="0089727D">
        <w:rPr>
          <w:iCs/>
          <w:sz w:val="26"/>
          <w:szCs w:val="26"/>
          <w:lang w:eastAsia="ru-RU"/>
        </w:rPr>
        <w:t>организаци</w:t>
      </w:r>
      <w:r w:rsidR="00214968">
        <w:rPr>
          <w:iCs/>
          <w:sz w:val="26"/>
          <w:szCs w:val="26"/>
          <w:lang w:eastAsia="ru-RU"/>
        </w:rPr>
        <w:t>и</w:t>
      </w:r>
      <w:r>
        <w:rPr>
          <w:iCs/>
          <w:sz w:val="26"/>
          <w:szCs w:val="26"/>
          <w:lang w:eastAsia="ru-RU"/>
        </w:rPr>
        <w:t>.</w:t>
      </w:r>
    </w:p>
    <w:p w:rsidR="0089727D" w:rsidRDefault="0089727D" w:rsidP="008972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2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Подавляющее большинство организаций </w:t>
      </w:r>
      <w:r w:rsidR="0010547E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89727D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89727D">
        <w:rPr>
          <w:rFonts w:ascii="Times New Roman" w:eastAsia="Times New Roman" w:hAnsi="Times New Roman"/>
          <w:sz w:val="26"/>
          <w:szCs w:val="26"/>
          <w:lang w:eastAsia="ru-RU"/>
        </w:rPr>
        <w:t xml:space="preserve">всех организационно-правовых форм составляет </w:t>
      </w:r>
      <w:r w:rsidR="0010547E">
        <w:rPr>
          <w:rFonts w:ascii="Times New Roman" w:eastAsia="Times New Roman" w:hAnsi="Times New Roman"/>
          <w:sz w:val="26"/>
          <w:szCs w:val="26"/>
          <w:lang w:eastAsia="ru-RU"/>
        </w:rPr>
        <w:t>61,0</w:t>
      </w:r>
      <w:r w:rsidRPr="0089727D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</w:p>
    <w:p w:rsidR="00511604" w:rsidRDefault="00511604" w:rsidP="0089727D">
      <w:pPr>
        <w:spacing w:after="0" w:line="360" w:lineRule="auto"/>
        <w:ind w:firstLine="708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511604">
        <w:rPr>
          <w:rFonts w:ascii="Times New Roman" w:hAnsi="Times New Roman"/>
          <w:iCs/>
          <w:sz w:val="26"/>
          <w:szCs w:val="26"/>
          <w:lang w:eastAsia="ru-RU"/>
        </w:rPr>
        <w:t xml:space="preserve">В большинстве случаев организации различных форм собственности при государственной регистрации заявили в качестве основного вида деятельности розничную и оптовую торговлю, ремонт автотранспорта и  бытовых изделий – </w:t>
      </w:r>
      <w:r w:rsidR="0010547E">
        <w:rPr>
          <w:rFonts w:ascii="Times New Roman" w:hAnsi="Times New Roman"/>
          <w:iCs/>
          <w:sz w:val="26"/>
          <w:szCs w:val="26"/>
          <w:lang w:eastAsia="ru-RU"/>
        </w:rPr>
        <w:t>19,6</w:t>
      </w:r>
      <w:r w:rsidRPr="00511604">
        <w:rPr>
          <w:rFonts w:ascii="Times New Roman" w:hAnsi="Times New Roman"/>
          <w:iCs/>
          <w:sz w:val="26"/>
          <w:szCs w:val="26"/>
          <w:lang w:eastAsia="ru-RU"/>
        </w:rPr>
        <w:t>%, операции с недвижимым имуществом, аренда и предоставление услуг -</w:t>
      </w:r>
      <w:r w:rsidR="004E06D5">
        <w:rPr>
          <w:rFonts w:ascii="Times New Roman" w:hAnsi="Times New Roman"/>
          <w:iCs/>
          <w:sz w:val="26"/>
          <w:szCs w:val="26"/>
          <w:lang w:eastAsia="ru-RU"/>
        </w:rPr>
        <w:t>9,</w:t>
      </w:r>
      <w:r w:rsidR="0010547E">
        <w:rPr>
          <w:rFonts w:ascii="Times New Roman" w:hAnsi="Times New Roman"/>
          <w:iCs/>
          <w:sz w:val="26"/>
          <w:szCs w:val="26"/>
          <w:lang w:eastAsia="ru-RU"/>
        </w:rPr>
        <w:t>5</w:t>
      </w:r>
      <w:r w:rsidRPr="00511604">
        <w:rPr>
          <w:rFonts w:ascii="Times New Roman" w:hAnsi="Times New Roman"/>
          <w:iCs/>
          <w:sz w:val="26"/>
          <w:szCs w:val="26"/>
          <w:lang w:eastAsia="ru-RU"/>
        </w:rPr>
        <w:t xml:space="preserve">%, </w:t>
      </w:r>
      <w:r w:rsidR="004E06D5">
        <w:rPr>
          <w:rFonts w:ascii="Times New Roman" w:hAnsi="Times New Roman"/>
          <w:iCs/>
          <w:sz w:val="26"/>
          <w:szCs w:val="26"/>
          <w:lang w:eastAsia="ru-RU"/>
        </w:rPr>
        <w:t xml:space="preserve">обрабатывающее производство </w:t>
      </w:r>
      <w:r w:rsidR="00D24F3C">
        <w:rPr>
          <w:rFonts w:ascii="Times New Roman" w:hAnsi="Times New Roman"/>
          <w:iCs/>
          <w:sz w:val="26"/>
          <w:szCs w:val="26"/>
          <w:lang w:eastAsia="ru-RU"/>
        </w:rPr>
        <w:t>–</w:t>
      </w:r>
      <w:r w:rsidR="004E06D5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045938">
        <w:rPr>
          <w:rFonts w:ascii="Times New Roman" w:hAnsi="Times New Roman"/>
          <w:iCs/>
          <w:sz w:val="26"/>
          <w:szCs w:val="26"/>
          <w:lang w:eastAsia="ru-RU"/>
        </w:rPr>
        <w:t>10,1</w:t>
      </w:r>
      <w:r w:rsidR="00D24F3C">
        <w:rPr>
          <w:rFonts w:ascii="Times New Roman" w:hAnsi="Times New Roman"/>
          <w:iCs/>
          <w:sz w:val="26"/>
          <w:szCs w:val="26"/>
          <w:lang w:eastAsia="ru-RU"/>
        </w:rPr>
        <w:t>%</w:t>
      </w:r>
      <w:r w:rsidRPr="00511604">
        <w:rPr>
          <w:rFonts w:ascii="Times New Roman" w:hAnsi="Times New Roman"/>
          <w:iCs/>
          <w:sz w:val="26"/>
          <w:szCs w:val="26"/>
          <w:lang w:eastAsia="ru-RU"/>
        </w:rPr>
        <w:t>, транспорт</w:t>
      </w:r>
      <w:r w:rsidR="00D24F3C">
        <w:rPr>
          <w:rFonts w:ascii="Times New Roman" w:hAnsi="Times New Roman"/>
          <w:iCs/>
          <w:sz w:val="26"/>
          <w:szCs w:val="26"/>
          <w:lang w:eastAsia="ru-RU"/>
        </w:rPr>
        <w:t>ировка и хранение</w:t>
      </w:r>
      <w:r w:rsidRPr="00511604">
        <w:rPr>
          <w:rFonts w:ascii="Times New Roman" w:hAnsi="Times New Roman"/>
          <w:iCs/>
          <w:sz w:val="26"/>
          <w:szCs w:val="26"/>
          <w:lang w:eastAsia="ru-RU"/>
        </w:rPr>
        <w:t xml:space="preserve">  – </w:t>
      </w:r>
      <w:r w:rsidR="00045938">
        <w:rPr>
          <w:rFonts w:ascii="Times New Roman" w:hAnsi="Times New Roman"/>
          <w:iCs/>
          <w:sz w:val="26"/>
          <w:szCs w:val="26"/>
          <w:lang w:eastAsia="ru-RU"/>
        </w:rPr>
        <w:t>8,4</w:t>
      </w:r>
      <w:r w:rsidRPr="00511604">
        <w:rPr>
          <w:rFonts w:ascii="Times New Roman" w:hAnsi="Times New Roman"/>
          <w:iCs/>
          <w:sz w:val="26"/>
          <w:szCs w:val="26"/>
          <w:lang w:eastAsia="ru-RU"/>
        </w:rPr>
        <w:t>%</w:t>
      </w:r>
      <w:r w:rsidR="00D24F3C">
        <w:rPr>
          <w:rFonts w:ascii="Times New Roman" w:hAnsi="Times New Roman"/>
          <w:iCs/>
          <w:sz w:val="26"/>
          <w:szCs w:val="26"/>
          <w:lang w:eastAsia="ru-RU"/>
        </w:rPr>
        <w:t>, образование – 7,</w:t>
      </w:r>
      <w:r w:rsidR="00045938">
        <w:rPr>
          <w:rFonts w:ascii="Times New Roman" w:hAnsi="Times New Roman"/>
          <w:iCs/>
          <w:sz w:val="26"/>
          <w:szCs w:val="26"/>
          <w:lang w:eastAsia="ru-RU"/>
        </w:rPr>
        <w:t>8</w:t>
      </w:r>
      <w:r w:rsidR="00D24F3C">
        <w:rPr>
          <w:rFonts w:ascii="Times New Roman" w:hAnsi="Times New Roman"/>
          <w:iCs/>
          <w:sz w:val="26"/>
          <w:szCs w:val="26"/>
          <w:lang w:eastAsia="ru-RU"/>
        </w:rPr>
        <w:t>%</w:t>
      </w:r>
      <w:r w:rsidR="00045938">
        <w:rPr>
          <w:rFonts w:ascii="Times New Roman" w:hAnsi="Times New Roman"/>
          <w:iCs/>
          <w:sz w:val="26"/>
          <w:szCs w:val="26"/>
          <w:lang w:eastAsia="ru-RU"/>
        </w:rPr>
        <w:t>, строительство - 7,5%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и т.д.</w:t>
      </w:r>
    </w:p>
    <w:p w:rsidR="005E3A8E" w:rsidRDefault="005E3A8E" w:rsidP="0089727D">
      <w:pPr>
        <w:spacing w:after="0" w:line="360" w:lineRule="auto"/>
        <w:ind w:firstLine="708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5E3A8E" w:rsidRDefault="005E3A8E" w:rsidP="005E3A8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A8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277544" cy="2913321"/>
            <wp:effectExtent l="38100" t="19050" r="18356" b="1329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3A8E" w:rsidRPr="00511604" w:rsidRDefault="005E3A8E" w:rsidP="005E3A8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3A8E" w:rsidRPr="00D84DA7" w:rsidRDefault="005E3A8E" w:rsidP="005E3A8E">
      <w:pPr>
        <w:pStyle w:val="Default"/>
        <w:spacing w:line="360" w:lineRule="auto"/>
        <w:ind w:firstLine="708"/>
        <w:jc w:val="both"/>
        <w:rPr>
          <w:iCs/>
          <w:sz w:val="26"/>
          <w:szCs w:val="26"/>
          <w:lang w:eastAsia="ru-RU"/>
        </w:rPr>
      </w:pPr>
      <w:r w:rsidRPr="00D84DA7">
        <w:rPr>
          <w:iCs/>
          <w:sz w:val="26"/>
          <w:szCs w:val="26"/>
          <w:lang w:eastAsia="ru-RU"/>
        </w:rPr>
        <w:t xml:space="preserve">Кроме того, в составе Статрегистра учтены </w:t>
      </w:r>
      <w:r w:rsidR="00F629DB">
        <w:rPr>
          <w:iCs/>
          <w:sz w:val="26"/>
          <w:szCs w:val="26"/>
          <w:lang w:eastAsia="ru-RU"/>
        </w:rPr>
        <w:t>1,0</w:t>
      </w:r>
      <w:r w:rsidR="00045938">
        <w:rPr>
          <w:iCs/>
          <w:sz w:val="26"/>
          <w:szCs w:val="26"/>
          <w:lang w:eastAsia="ru-RU"/>
        </w:rPr>
        <w:t>58</w:t>
      </w:r>
      <w:r w:rsidRPr="00D84DA7">
        <w:rPr>
          <w:iCs/>
          <w:sz w:val="26"/>
          <w:szCs w:val="26"/>
          <w:lang w:eastAsia="ru-RU"/>
        </w:rPr>
        <w:t xml:space="preserve"> тыс. индивидуальных предпринимателей, </w:t>
      </w:r>
      <w:r w:rsidR="00045938">
        <w:rPr>
          <w:iCs/>
          <w:sz w:val="26"/>
          <w:szCs w:val="26"/>
          <w:lang w:eastAsia="ru-RU"/>
        </w:rPr>
        <w:t>51,3</w:t>
      </w:r>
      <w:r w:rsidRPr="00D84DA7">
        <w:rPr>
          <w:iCs/>
          <w:sz w:val="26"/>
          <w:szCs w:val="26"/>
          <w:lang w:eastAsia="ru-RU"/>
        </w:rPr>
        <w:t>% из них заявили основным видом деятельности торговлю, ремонт автомобилей, бытовых изделий.</w:t>
      </w:r>
    </w:p>
    <w:p w:rsidR="009C1B90" w:rsidRPr="00487614" w:rsidRDefault="00F61B41" w:rsidP="00F61B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7614">
        <w:rPr>
          <w:rFonts w:ascii="Times New Roman" w:hAnsi="Times New Roman"/>
          <w:sz w:val="26"/>
          <w:szCs w:val="26"/>
        </w:rPr>
        <w:lastRenderedPageBreak/>
        <w:t xml:space="preserve"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</w:t>
      </w:r>
      <w:r w:rsidR="005F2BC4">
        <w:rPr>
          <w:rFonts w:ascii="Times New Roman" w:hAnsi="Times New Roman"/>
          <w:sz w:val="26"/>
          <w:szCs w:val="26"/>
        </w:rPr>
        <w:t>предпринимателей</w:t>
      </w:r>
      <w:r w:rsidRPr="00487614">
        <w:rPr>
          <w:rFonts w:ascii="Times New Roman" w:hAnsi="Times New Roman"/>
          <w:sz w:val="26"/>
          <w:szCs w:val="26"/>
        </w:rPr>
        <w:t>. К проведению анкетирования</w:t>
      </w:r>
      <w:r w:rsidRPr="00487614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487614">
        <w:rPr>
          <w:rFonts w:ascii="Times New Roman" w:hAnsi="Times New Roman"/>
          <w:sz w:val="26"/>
          <w:szCs w:val="26"/>
        </w:rPr>
        <w:t>было привлечено некоммерческое партнерство «Союз предпринимателей «Наш город»</w:t>
      </w:r>
      <w:r w:rsidR="00487614" w:rsidRPr="00487614">
        <w:rPr>
          <w:rFonts w:ascii="Times New Roman" w:hAnsi="Times New Roman"/>
          <w:sz w:val="26"/>
          <w:szCs w:val="26"/>
        </w:rPr>
        <w:t>.</w:t>
      </w:r>
    </w:p>
    <w:p w:rsidR="009C1B90" w:rsidRPr="00487614" w:rsidRDefault="009C1B90" w:rsidP="005F2BC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7614">
        <w:rPr>
          <w:rFonts w:ascii="Times New Roman" w:hAnsi="Times New Roman"/>
          <w:sz w:val="26"/>
          <w:szCs w:val="26"/>
        </w:rPr>
        <w:t>Субъектам предпринимательской деятельности  было предложено отметить те административные барьеры, с которы</w:t>
      </w:r>
      <w:r w:rsidR="005F2BC4">
        <w:rPr>
          <w:rFonts w:ascii="Times New Roman" w:hAnsi="Times New Roman"/>
          <w:sz w:val="26"/>
          <w:szCs w:val="26"/>
        </w:rPr>
        <w:t>ми они сталкивались</w:t>
      </w:r>
      <w:r w:rsidR="005F2BC4" w:rsidRPr="00487614">
        <w:rPr>
          <w:rFonts w:ascii="Times New Roman" w:hAnsi="Times New Roman"/>
          <w:sz w:val="26"/>
          <w:szCs w:val="26"/>
        </w:rPr>
        <w:t xml:space="preserve"> </w:t>
      </w:r>
      <w:r w:rsidRPr="00487614">
        <w:rPr>
          <w:rFonts w:ascii="Times New Roman" w:hAnsi="Times New Roman"/>
          <w:sz w:val="26"/>
          <w:szCs w:val="26"/>
        </w:rPr>
        <w:t xml:space="preserve">при </w:t>
      </w:r>
      <w:r w:rsidR="005F2BC4">
        <w:rPr>
          <w:rFonts w:ascii="Times New Roman" w:hAnsi="Times New Roman"/>
          <w:sz w:val="26"/>
          <w:szCs w:val="26"/>
        </w:rPr>
        <w:t>осуществлении предпринимательской деятельности</w:t>
      </w:r>
      <w:r w:rsidR="007238C4">
        <w:rPr>
          <w:rFonts w:ascii="Times New Roman" w:hAnsi="Times New Roman"/>
          <w:sz w:val="26"/>
          <w:szCs w:val="26"/>
        </w:rPr>
        <w:t>. Ими стали -</w:t>
      </w:r>
      <w:r w:rsidRPr="00487614">
        <w:rPr>
          <w:rFonts w:ascii="Times New Roman" w:hAnsi="Times New Roman"/>
          <w:sz w:val="26"/>
          <w:szCs w:val="26"/>
        </w:rPr>
        <w:t xml:space="preserve"> </w:t>
      </w:r>
      <w:r w:rsidR="00D42AB6">
        <w:rPr>
          <w:rFonts w:ascii="Times New Roman" w:hAnsi="Times New Roman"/>
          <w:sz w:val="26"/>
          <w:szCs w:val="26"/>
        </w:rPr>
        <w:t>получение земельных участков в аренду или собственность</w:t>
      </w:r>
      <w:r w:rsidRPr="00487614">
        <w:rPr>
          <w:rFonts w:ascii="Times New Roman" w:hAnsi="Times New Roman"/>
          <w:sz w:val="26"/>
          <w:szCs w:val="26"/>
        </w:rPr>
        <w:t>; оформление проектной документации; перевод жилых помещений в нежилые</w:t>
      </w:r>
      <w:r w:rsidR="00D42AB6" w:rsidRPr="00D42AB6">
        <w:rPr>
          <w:rFonts w:ascii="Times New Roman" w:hAnsi="Times New Roman"/>
          <w:sz w:val="26"/>
          <w:szCs w:val="26"/>
        </w:rPr>
        <w:t xml:space="preserve">; </w:t>
      </w:r>
      <w:r w:rsidR="00D42AB6">
        <w:rPr>
          <w:rFonts w:ascii="Times New Roman" w:hAnsi="Times New Roman"/>
          <w:sz w:val="26"/>
          <w:szCs w:val="26"/>
        </w:rPr>
        <w:t>сертификация и маркирование</w:t>
      </w:r>
      <w:r w:rsidR="00D42AB6" w:rsidRPr="00D42AB6">
        <w:rPr>
          <w:rFonts w:ascii="Times New Roman" w:hAnsi="Times New Roman"/>
          <w:sz w:val="26"/>
          <w:szCs w:val="26"/>
        </w:rPr>
        <w:t xml:space="preserve">; </w:t>
      </w:r>
      <w:r w:rsidR="00D42AB6">
        <w:rPr>
          <w:rFonts w:ascii="Times New Roman" w:hAnsi="Times New Roman"/>
          <w:sz w:val="26"/>
          <w:szCs w:val="26"/>
        </w:rPr>
        <w:t>и</w:t>
      </w:r>
      <w:r w:rsidR="00D42AB6" w:rsidRPr="00D42AB6">
        <w:rPr>
          <w:rFonts w:ascii="Times New Roman" w:hAnsi="Times New Roman"/>
          <w:sz w:val="26"/>
          <w:szCs w:val="26"/>
        </w:rPr>
        <w:t>нспекционная деятельность, контроль и надзор</w:t>
      </w:r>
      <w:r w:rsidRPr="00487614">
        <w:rPr>
          <w:rFonts w:ascii="Times New Roman" w:hAnsi="Times New Roman"/>
          <w:sz w:val="26"/>
          <w:szCs w:val="26"/>
        </w:rPr>
        <w:t>.</w:t>
      </w:r>
    </w:p>
    <w:p w:rsidR="009C1B90" w:rsidRPr="00487614" w:rsidRDefault="009C1B90" w:rsidP="009C1B9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7614">
        <w:rPr>
          <w:rFonts w:ascii="Times New Roman" w:hAnsi="Times New Roman"/>
          <w:sz w:val="26"/>
          <w:szCs w:val="26"/>
        </w:rPr>
        <w:t xml:space="preserve">Административные барьеры при </w:t>
      </w:r>
      <w:r w:rsidR="00D42AB6">
        <w:rPr>
          <w:rFonts w:ascii="Times New Roman" w:hAnsi="Times New Roman"/>
          <w:sz w:val="26"/>
          <w:szCs w:val="26"/>
        </w:rPr>
        <w:t>регистрации деятельности, получении согласований и разрешений  отсутствуют</w:t>
      </w:r>
      <w:r w:rsidRPr="00487614">
        <w:rPr>
          <w:rFonts w:ascii="Times New Roman" w:hAnsi="Times New Roman"/>
          <w:sz w:val="26"/>
          <w:szCs w:val="26"/>
        </w:rPr>
        <w:t>.</w:t>
      </w:r>
    </w:p>
    <w:p w:rsidR="00F61B41" w:rsidRPr="00487614" w:rsidRDefault="009C1B90" w:rsidP="00F61B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7614">
        <w:rPr>
          <w:rFonts w:ascii="Times New Roman" w:hAnsi="Times New Roman"/>
          <w:sz w:val="26"/>
          <w:szCs w:val="26"/>
        </w:rPr>
        <w:t xml:space="preserve">В опросе приняло участие </w:t>
      </w:r>
      <w:r w:rsidR="00D42AB6">
        <w:rPr>
          <w:rFonts w:ascii="Times New Roman" w:hAnsi="Times New Roman"/>
          <w:b/>
          <w:sz w:val="26"/>
          <w:szCs w:val="26"/>
        </w:rPr>
        <w:t>32</w:t>
      </w:r>
      <w:r w:rsidRPr="00487614">
        <w:rPr>
          <w:rFonts w:ascii="Times New Roman" w:hAnsi="Times New Roman"/>
          <w:sz w:val="26"/>
          <w:szCs w:val="26"/>
        </w:rPr>
        <w:t xml:space="preserve"> респондент</w:t>
      </w:r>
      <w:r w:rsidR="00305FC4">
        <w:rPr>
          <w:rFonts w:ascii="Times New Roman" w:hAnsi="Times New Roman"/>
          <w:sz w:val="26"/>
          <w:szCs w:val="26"/>
        </w:rPr>
        <w:t>а</w:t>
      </w:r>
      <w:r w:rsidR="00DF1E08" w:rsidRPr="00487614">
        <w:rPr>
          <w:rFonts w:ascii="Times New Roman" w:hAnsi="Times New Roman"/>
          <w:sz w:val="26"/>
          <w:szCs w:val="26"/>
        </w:rPr>
        <w:t xml:space="preserve">, </w:t>
      </w:r>
      <w:r w:rsidR="00D42AB6" w:rsidRPr="00517DAC">
        <w:rPr>
          <w:rFonts w:ascii="Times New Roman" w:hAnsi="Times New Roman"/>
          <w:b/>
          <w:sz w:val="26"/>
          <w:szCs w:val="26"/>
        </w:rPr>
        <w:t>26</w:t>
      </w:r>
      <w:r w:rsidR="00D42AB6">
        <w:rPr>
          <w:rFonts w:ascii="Times New Roman" w:hAnsi="Times New Roman"/>
          <w:sz w:val="26"/>
          <w:szCs w:val="26"/>
        </w:rPr>
        <w:t xml:space="preserve"> из </w:t>
      </w:r>
      <w:r w:rsidR="007238C4">
        <w:rPr>
          <w:rFonts w:ascii="Times New Roman" w:hAnsi="Times New Roman"/>
          <w:sz w:val="26"/>
          <w:szCs w:val="26"/>
        </w:rPr>
        <w:t xml:space="preserve">них </w:t>
      </w:r>
      <w:r w:rsidR="00D42AB6">
        <w:rPr>
          <w:rFonts w:ascii="Times New Roman" w:hAnsi="Times New Roman"/>
          <w:sz w:val="26"/>
          <w:szCs w:val="26"/>
        </w:rPr>
        <w:t xml:space="preserve"> </w:t>
      </w:r>
      <w:r w:rsidR="00DF1E08" w:rsidRPr="00487614">
        <w:rPr>
          <w:rFonts w:ascii="Times New Roman" w:hAnsi="Times New Roman"/>
          <w:sz w:val="26"/>
          <w:szCs w:val="26"/>
        </w:rPr>
        <w:t>веду</w:t>
      </w:r>
      <w:r w:rsidR="00D42AB6">
        <w:rPr>
          <w:rFonts w:ascii="Times New Roman" w:hAnsi="Times New Roman"/>
          <w:sz w:val="26"/>
          <w:szCs w:val="26"/>
        </w:rPr>
        <w:t>т</w:t>
      </w:r>
      <w:r w:rsidR="00DF1E08" w:rsidRPr="00487614">
        <w:rPr>
          <w:rFonts w:ascii="Times New Roman" w:hAnsi="Times New Roman"/>
          <w:sz w:val="26"/>
          <w:szCs w:val="26"/>
        </w:rPr>
        <w:t xml:space="preserve"> деятельность в сфере розничной торговли</w:t>
      </w:r>
      <w:r w:rsidR="00487614" w:rsidRPr="00487614">
        <w:rPr>
          <w:rFonts w:ascii="Times New Roman" w:hAnsi="Times New Roman"/>
          <w:sz w:val="26"/>
          <w:szCs w:val="26"/>
        </w:rPr>
        <w:t>.</w:t>
      </w:r>
    </w:p>
    <w:p w:rsidR="00DF1E08" w:rsidRPr="00487614" w:rsidRDefault="00DF1E08" w:rsidP="00F61B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7614">
        <w:rPr>
          <w:rFonts w:ascii="Times New Roman" w:hAnsi="Times New Roman"/>
          <w:sz w:val="26"/>
          <w:szCs w:val="26"/>
        </w:rPr>
        <w:t>В качестве основных факторов, ограничивающих деятельность организаций розничной торговли, предприниматели назвали высокую конкуренцию со стороны других организаций розничной торговли, недостаточный платеж</w:t>
      </w:r>
      <w:r w:rsidR="00EC5EAE" w:rsidRPr="00487614">
        <w:rPr>
          <w:rFonts w:ascii="Times New Roman" w:hAnsi="Times New Roman"/>
          <w:sz w:val="26"/>
          <w:szCs w:val="26"/>
        </w:rPr>
        <w:t xml:space="preserve">еспособный спрос населения, высокий уровень налогов. </w:t>
      </w:r>
      <w:r w:rsidRPr="00487614">
        <w:rPr>
          <w:rFonts w:ascii="Times New Roman" w:hAnsi="Times New Roman"/>
          <w:sz w:val="26"/>
          <w:szCs w:val="26"/>
        </w:rPr>
        <w:t>Продолжают сдерживать развитие розничных организаций высокий процент коммерческого креди</w:t>
      </w:r>
      <w:r w:rsidR="00B41386" w:rsidRPr="00487614">
        <w:rPr>
          <w:rFonts w:ascii="Times New Roman" w:hAnsi="Times New Roman"/>
          <w:sz w:val="26"/>
          <w:szCs w:val="26"/>
        </w:rPr>
        <w:t>та.</w:t>
      </w:r>
    </w:p>
    <w:p w:rsidR="00284445" w:rsidRPr="00487614" w:rsidRDefault="00284445" w:rsidP="0028444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7614">
        <w:rPr>
          <w:rFonts w:ascii="Times New Roman" w:hAnsi="Times New Roman"/>
          <w:sz w:val="26"/>
          <w:szCs w:val="26"/>
        </w:rPr>
        <w:t>Субъектам предпринимательской деятельности, принявши</w:t>
      </w:r>
      <w:r w:rsidR="00305FC4">
        <w:rPr>
          <w:rFonts w:ascii="Times New Roman" w:hAnsi="Times New Roman"/>
          <w:sz w:val="26"/>
          <w:szCs w:val="26"/>
        </w:rPr>
        <w:t>м</w:t>
      </w:r>
      <w:r w:rsidRPr="00487614">
        <w:rPr>
          <w:rFonts w:ascii="Times New Roman" w:hAnsi="Times New Roman"/>
          <w:sz w:val="26"/>
          <w:szCs w:val="26"/>
        </w:rPr>
        <w:t xml:space="preserve"> участие в анкетировании, предложено </w:t>
      </w:r>
      <w:r w:rsidR="003D2CCE">
        <w:rPr>
          <w:rFonts w:ascii="Times New Roman" w:hAnsi="Times New Roman"/>
          <w:sz w:val="26"/>
          <w:szCs w:val="26"/>
        </w:rPr>
        <w:t>определить необходимые</w:t>
      </w:r>
      <w:r w:rsidRPr="00487614">
        <w:rPr>
          <w:rFonts w:ascii="Times New Roman" w:hAnsi="Times New Roman"/>
          <w:sz w:val="26"/>
          <w:szCs w:val="26"/>
        </w:rPr>
        <w:t xml:space="preserve"> по их мнению меры, которые могут повлиять на улучшение предпринимательского климата</w:t>
      </w:r>
      <w:r w:rsidR="002D4EFB">
        <w:rPr>
          <w:rFonts w:ascii="Times New Roman" w:hAnsi="Times New Roman"/>
          <w:sz w:val="26"/>
          <w:szCs w:val="26"/>
        </w:rPr>
        <w:t>, развитие бизнеса</w:t>
      </w:r>
      <w:r w:rsidRPr="00487614">
        <w:rPr>
          <w:rFonts w:ascii="Times New Roman" w:hAnsi="Times New Roman"/>
          <w:sz w:val="26"/>
          <w:szCs w:val="26"/>
        </w:rPr>
        <w:t xml:space="preserve"> и создание благоприятных условий для развития конкурентной среды на рынках товаров и услуг </w:t>
      </w:r>
      <w:r w:rsidR="00DF1E08" w:rsidRPr="00487614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Pr="00487614">
        <w:rPr>
          <w:rFonts w:ascii="Times New Roman" w:hAnsi="Times New Roman"/>
          <w:sz w:val="26"/>
          <w:szCs w:val="26"/>
        </w:rPr>
        <w:t xml:space="preserve">. </w:t>
      </w:r>
    </w:p>
    <w:p w:rsidR="002D4EFB" w:rsidRPr="002D4EFB" w:rsidRDefault="00517DAC" w:rsidP="003D2CCE">
      <w:pPr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hAnsi="Times New Roman"/>
          <w:sz w:val="26"/>
          <w:szCs w:val="26"/>
        </w:rPr>
        <w:t>О</w:t>
      </w:r>
      <w:r w:rsidR="00284445" w:rsidRPr="00487614">
        <w:rPr>
          <w:rFonts w:ascii="Times New Roman" w:hAnsi="Times New Roman"/>
          <w:sz w:val="26"/>
          <w:szCs w:val="26"/>
        </w:rPr>
        <w:t xml:space="preserve">сновная группа </w:t>
      </w:r>
      <w:r>
        <w:rPr>
          <w:rFonts w:ascii="Times New Roman" w:hAnsi="Times New Roman"/>
          <w:sz w:val="26"/>
          <w:szCs w:val="26"/>
        </w:rPr>
        <w:t xml:space="preserve">опрошенных </w:t>
      </w:r>
      <w:r w:rsidR="00284445" w:rsidRPr="00487614">
        <w:rPr>
          <w:rFonts w:ascii="Times New Roman" w:hAnsi="Times New Roman"/>
          <w:sz w:val="26"/>
          <w:szCs w:val="26"/>
        </w:rPr>
        <w:t xml:space="preserve">респондентов </w:t>
      </w:r>
      <w:r w:rsidR="003D2CCE">
        <w:rPr>
          <w:rFonts w:ascii="Times New Roman" w:hAnsi="Times New Roman"/>
          <w:sz w:val="26"/>
          <w:szCs w:val="26"/>
        </w:rPr>
        <w:t xml:space="preserve">среди мер, необходимых для развития бизнеса </w:t>
      </w:r>
      <w:r w:rsidR="003D2CCE" w:rsidRPr="00487614">
        <w:rPr>
          <w:rFonts w:ascii="Times New Roman" w:hAnsi="Times New Roman"/>
          <w:sz w:val="26"/>
          <w:szCs w:val="26"/>
        </w:rPr>
        <w:t>отметила</w:t>
      </w:r>
      <w:r w:rsidR="003D2CCE">
        <w:rPr>
          <w:rFonts w:ascii="Times New Roman" w:hAnsi="Times New Roman"/>
          <w:sz w:val="26"/>
          <w:szCs w:val="26"/>
        </w:rPr>
        <w:t xml:space="preserve"> </w:t>
      </w:r>
      <w:r w:rsidR="00284445" w:rsidRPr="00487614">
        <w:rPr>
          <w:rFonts w:ascii="Times New Roman" w:hAnsi="Times New Roman"/>
          <w:sz w:val="26"/>
          <w:szCs w:val="26"/>
        </w:rPr>
        <w:t>необходимость снижен</w:t>
      </w:r>
      <w:r w:rsidR="00DF1E08" w:rsidRPr="00487614">
        <w:rPr>
          <w:rFonts w:ascii="Times New Roman" w:hAnsi="Times New Roman"/>
          <w:sz w:val="26"/>
          <w:szCs w:val="26"/>
        </w:rPr>
        <w:t>ия налоговой нагрузки на бизнес</w:t>
      </w:r>
      <w:r w:rsidR="002D4EFB">
        <w:rPr>
          <w:rFonts w:ascii="Times New Roman" w:hAnsi="Times New Roman"/>
          <w:sz w:val="26"/>
          <w:szCs w:val="26"/>
        </w:rPr>
        <w:t xml:space="preserve"> -</w:t>
      </w:r>
      <w:r w:rsidR="003D2CCE">
        <w:rPr>
          <w:rFonts w:ascii="Times New Roman" w:hAnsi="Times New Roman"/>
          <w:sz w:val="26"/>
          <w:szCs w:val="26"/>
        </w:rPr>
        <w:t xml:space="preserve"> </w:t>
      </w:r>
      <w:r w:rsidR="002D4EFB">
        <w:rPr>
          <w:rFonts w:ascii="Times New Roman" w:hAnsi="Times New Roman"/>
          <w:sz w:val="26"/>
          <w:szCs w:val="26"/>
        </w:rPr>
        <w:t>96,9%</w:t>
      </w:r>
      <w:r w:rsidR="00DF1E08" w:rsidRPr="00487614">
        <w:rPr>
          <w:rFonts w:ascii="Times New Roman" w:hAnsi="Times New Roman"/>
          <w:sz w:val="26"/>
          <w:szCs w:val="26"/>
        </w:rPr>
        <w:t>, снижение уровня административных барьеров</w:t>
      </w:r>
      <w:r w:rsidR="002D4EFB">
        <w:rPr>
          <w:rFonts w:ascii="Times New Roman" w:hAnsi="Times New Roman"/>
          <w:sz w:val="26"/>
          <w:szCs w:val="26"/>
        </w:rPr>
        <w:t xml:space="preserve"> – 21,8%, </w:t>
      </w:r>
      <w:r w:rsidR="003D2CCE">
        <w:rPr>
          <w:rFonts w:ascii="Times New Roman" w:hAnsi="Times New Roman"/>
          <w:sz w:val="26"/>
          <w:szCs w:val="26"/>
        </w:rPr>
        <w:t xml:space="preserve">совершенствование </w:t>
      </w:r>
      <w:r w:rsidR="002D4EFB">
        <w:rPr>
          <w:rFonts w:ascii="Times New Roman" w:hAnsi="Times New Roman"/>
          <w:sz w:val="26"/>
          <w:szCs w:val="26"/>
        </w:rPr>
        <w:t>нормативно-правов</w:t>
      </w:r>
      <w:r w:rsidR="003D2CCE">
        <w:rPr>
          <w:rFonts w:ascii="Times New Roman" w:hAnsi="Times New Roman"/>
          <w:sz w:val="26"/>
          <w:szCs w:val="26"/>
        </w:rPr>
        <w:t>ой</w:t>
      </w:r>
      <w:r w:rsidR="002D4EFB">
        <w:rPr>
          <w:rFonts w:ascii="Times New Roman" w:hAnsi="Times New Roman"/>
          <w:sz w:val="26"/>
          <w:szCs w:val="26"/>
        </w:rPr>
        <w:t xml:space="preserve"> поддержк</w:t>
      </w:r>
      <w:r w:rsidR="003D2CCE">
        <w:rPr>
          <w:rFonts w:ascii="Times New Roman" w:hAnsi="Times New Roman"/>
          <w:sz w:val="26"/>
          <w:szCs w:val="26"/>
        </w:rPr>
        <w:t>и</w:t>
      </w:r>
      <w:r w:rsidR="002D4EFB">
        <w:rPr>
          <w:rFonts w:ascii="Times New Roman" w:hAnsi="Times New Roman"/>
          <w:sz w:val="26"/>
          <w:szCs w:val="26"/>
        </w:rPr>
        <w:t xml:space="preserve"> среднего и малого предпринимательства – 37,5%, </w:t>
      </w:r>
      <w:r w:rsidR="002D4EFB" w:rsidRPr="003D2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совершенствование системы информирования о действующих программах поддержки малого бизнеса, фондах и других организациях занимающихся поддержкой малого и среднего бизнеса</w:t>
      </w:r>
      <w:r w:rsidR="003D2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25%.</w:t>
      </w:r>
    </w:p>
    <w:p w:rsidR="00F61B41" w:rsidRPr="00B41386" w:rsidRDefault="00284445" w:rsidP="00B41386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B41386">
        <w:rPr>
          <w:rFonts w:ascii="Times New Roman" w:hAnsi="Times New Roman"/>
          <w:sz w:val="26"/>
          <w:szCs w:val="26"/>
        </w:rPr>
        <w:lastRenderedPageBreak/>
        <w:t>Кроме того предложено принятие следующих мер по развитию бизнеса</w:t>
      </w:r>
      <w:r w:rsidR="00DF1E08" w:rsidRPr="00B41386">
        <w:rPr>
          <w:rFonts w:ascii="Times New Roman" w:hAnsi="Times New Roman"/>
          <w:sz w:val="26"/>
          <w:szCs w:val="26"/>
        </w:rPr>
        <w:t>: развитие информационных услуг для малого и среднего предпринимательства</w:t>
      </w:r>
      <w:r w:rsidR="00B41386" w:rsidRPr="00B41386">
        <w:rPr>
          <w:rFonts w:ascii="Times New Roman" w:hAnsi="Times New Roman"/>
          <w:sz w:val="26"/>
          <w:szCs w:val="26"/>
        </w:rPr>
        <w:t>, налоговое консультирование, аудит субъектов малого</w:t>
      </w:r>
      <w:r w:rsidR="00517DAC">
        <w:rPr>
          <w:rFonts w:ascii="Times New Roman" w:hAnsi="Times New Roman"/>
          <w:sz w:val="26"/>
          <w:szCs w:val="26"/>
        </w:rPr>
        <w:t xml:space="preserve"> и среднего предпринимательства, микрокредитование.</w:t>
      </w:r>
      <w:r w:rsidR="00B41386" w:rsidRPr="00B41386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B41386" w:rsidRPr="00487614" w:rsidRDefault="00B41386" w:rsidP="00B4138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7614">
        <w:rPr>
          <w:rFonts w:ascii="Times New Roman" w:hAnsi="Times New Roman"/>
          <w:sz w:val="26"/>
          <w:szCs w:val="26"/>
        </w:rPr>
        <w:t xml:space="preserve">В рамках проведения ежегодного мониторинга </w:t>
      </w:r>
      <w:r w:rsidRPr="00487614">
        <w:rPr>
          <w:rFonts w:ascii="Times New Roman" w:eastAsia="Times New Roman" w:hAnsi="Times New Roman"/>
          <w:sz w:val="26"/>
          <w:szCs w:val="26"/>
          <w:lang w:eastAsia="ru-RU"/>
        </w:rPr>
        <w:t xml:space="preserve">удовлетворенности потребителей качеством товаров, работ, услуг на товарных рынках </w:t>
      </w:r>
      <w:r w:rsidR="00487614" w:rsidRPr="0048761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Pr="00487614">
        <w:rPr>
          <w:rFonts w:ascii="Times New Roman" w:eastAsia="Times New Roman" w:hAnsi="Times New Roman"/>
          <w:sz w:val="26"/>
          <w:szCs w:val="26"/>
          <w:lang w:eastAsia="ru-RU"/>
        </w:rPr>
        <w:t>и состоянием ценовой конкуренции</w:t>
      </w:r>
      <w:r w:rsidRPr="00487614">
        <w:rPr>
          <w:rFonts w:ascii="Times New Roman" w:hAnsi="Times New Roman"/>
          <w:sz w:val="26"/>
          <w:szCs w:val="26"/>
        </w:rPr>
        <w:t xml:space="preserve"> проведено анкетирование потребителей товаров, работ услуг.</w:t>
      </w:r>
    </w:p>
    <w:p w:rsidR="00B41386" w:rsidRPr="00487614" w:rsidRDefault="00B41386" w:rsidP="006C0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614">
        <w:rPr>
          <w:rFonts w:ascii="Times New Roman" w:eastAsia="Times New Roman" w:hAnsi="Times New Roman"/>
          <w:sz w:val="26"/>
          <w:szCs w:val="26"/>
          <w:lang w:eastAsia="ru-RU"/>
        </w:rPr>
        <w:t xml:space="preserve">В опросе приняли участие </w:t>
      </w:r>
      <w:r w:rsidR="000D5BD2">
        <w:rPr>
          <w:rFonts w:ascii="Times New Roman" w:eastAsia="Times New Roman" w:hAnsi="Times New Roman"/>
          <w:sz w:val="26"/>
          <w:szCs w:val="26"/>
          <w:lang w:eastAsia="ru-RU"/>
        </w:rPr>
        <w:t>37</w:t>
      </w:r>
      <w:r w:rsidRPr="00487614"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жителей городского округа Спасск-Дальний.</w:t>
      </w:r>
    </w:p>
    <w:p w:rsidR="00B41386" w:rsidRPr="00487614" w:rsidRDefault="00B41386" w:rsidP="0048761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61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анкетирования было предложено оценить качество услуг на товарных рынках города.</w:t>
      </w:r>
    </w:p>
    <w:p w:rsidR="000F7FEA" w:rsidRPr="00E104FC" w:rsidRDefault="000F7FEA" w:rsidP="00B413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FE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2640" cy="3670447"/>
            <wp:effectExtent l="38100" t="19050" r="22860" b="620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386" w:rsidRPr="00E104FC" w:rsidRDefault="00B41386" w:rsidP="00B413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68" w:rsidRPr="00487614" w:rsidRDefault="000F7FEA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87614">
        <w:rPr>
          <w:rFonts w:eastAsia="Times New Roman"/>
          <w:sz w:val="26"/>
          <w:szCs w:val="26"/>
          <w:lang w:eastAsia="ru-RU"/>
        </w:rPr>
        <w:t>Исходя из результатов проведенного мониторинга, следует:  положительная оценка предоставляемых услуг указана респондентами в отношении  рынков услуг дошкольного, дополнительного образования детей, детского отдыха и оздоровления детей.</w:t>
      </w:r>
    </w:p>
    <w:p w:rsidR="000F7FEA" w:rsidRPr="00487614" w:rsidRDefault="000F7FEA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87614">
        <w:rPr>
          <w:rFonts w:eastAsia="Times New Roman"/>
          <w:sz w:val="26"/>
          <w:szCs w:val="26"/>
          <w:lang w:eastAsia="ru-RU"/>
        </w:rPr>
        <w:lastRenderedPageBreak/>
        <w:t xml:space="preserve">Услуги психолого-педагогического сопровождения детей с ограниченными возможностями здоровья, по мнению </w:t>
      </w:r>
      <w:r w:rsidR="004356E7">
        <w:rPr>
          <w:rFonts w:eastAsia="Times New Roman"/>
          <w:sz w:val="26"/>
          <w:szCs w:val="26"/>
          <w:lang w:eastAsia="ru-RU"/>
        </w:rPr>
        <w:t>18,9</w:t>
      </w:r>
      <w:r w:rsidRPr="00487614">
        <w:rPr>
          <w:rFonts w:eastAsia="Times New Roman"/>
          <w:sz w:val="26"/>
          <w:szCs w:val="26"/>
          <w:lang w:eastAsia="ru-RU"/>
        </w:rPr>
        <w:t>% респондентов, на территории города отсутствуют.</w:t>
      </w:r>
      <w:r w:rsidR="004356E7">
        <w:rPr>
          <w:rFonts w:eastAsia="Times New Roman"/>
          <w:sz w:val="26"/>
          <w:szCs w:val="26"/>
          <w:lang w:eastAsia="ru-RU"/>
        </w:rPr>
        <w:t xml:space="preserve"> </w:t>
      </w:r>
    </w:p>
    <w:p w:rsidR="00A31289" w:rsidRPr="00487614" w:rsidRDefault="00A31289" w:rsidP="006C0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614">
        <w:rPr>
          <w:rFonts w:ascii="Times New Roman" w:eastAsia="Times New Roman" w:hAnsi="Times New Roman"/>
          <w:sz w:val="26"/>
          <w:szCs w:val="26"/>
          <w:lang w:eastAsia="ru-RU"/>
        </w:rPr>
        <w:t>Мнения потребителей о предоставляемых услуг</w:t>
      </w:r>
      <w:r w:rsidR="00425AC7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48761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рынке связи распределились следующим образом.</w:t>
      </w:r>
    </w:p>
    <w:p w:rsidR="000F7FEA" w:rsidRPr="00E104FC" w:rsidRDefault="00447567" w:rsidP="000F7F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56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1360" cy="3053760"/>
            <wp:effectExtent l="38100" t="19050" r="222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FEA" w:rsidRDefault="000F7FEA" w:rsidP="00726A68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</w:p>
    <w:p w:rsidR="00783692" w:rsidRPr="000A6276" w:rsidRDefault="00B028F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0A6276">
        <w:rPr>
          <w:rFonts w:ascii="Times New Roman" w:eastAsia="Times New Roman" w:hAnsi="Times New Roman"/>
          <w:sz w:val="26"/>
          <w:szCs w:val="26"/>
          <w:lang w:eastAsia="ru-RU"/>
        </w:rPr>
        <w:t>В целом рынок услуг</w:t>
      </w:r>
      <w:r w:rsidR="00425AC7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по всем видам</w:t>
      </w:r>
      <w:r w:rsidRPr="000A6276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оценен положительно.</w:t>
      </w:r>
    </w:p>
    <w:p w:rsidR="00B028F3" w:rsidRPr="000A6276" w:rsidRDefault="00B028F3" w:rsidP="00B028F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276">
        <w:rPr>
          <w:rFonts w:ascii="Times New Roman" w:eastAsia="Times New Roman" w:hAnsi="Times New Roman"/>
          <w:sz w:val="26"/>
          <w:szCs w:val="26"/>
          <w:lang w:eastAsia="ru-RU"/>
        </w:rPr>
        <w:t>Рынок услуг ЖКХ –</w:t>
      </w:r>
      <w:r w:rsidR="00487614" w:rsidRPr="000A62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6276">
        <w:rPr>
          <w:rFonts w:ascii="Times New Roman" w:eastAsia="Times New Roman" w:hAnsi="Times New Roman"/>
          <w:sz w:val="26"/>
          <w:szCs w:val="26"/>
          <w:lang w:eastAsia="ru-RU"/>
        </w:rPr>
        <w:t>как рынок со слабо развитой  конкуренцией.</w:t>
      </w:r>
    </w:p>
    <w:p w:rsidR="00B028F3" w:rsidRDefault="00B028F3">
      <w:r w:rsidRPr="00B028F3">
        <w:rPr>
          <w:noProof/>
          <w:lang w:eastAsia="ru-RU"/>
        </w:rPr>
        <w:drawing>
          <wp:inline distT="0" distB="0" distL="0" distR="0">
            <wp:extent cx="5765062" cy="3200400"/>
            <wp:effectExtent l="38100" t="19050" r="26138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28F3" w:rsidRDefault="00CC5BF1" w:rsidP="00CC5BF1">
      <w:pPr>
        <w:jc w:val="both"/>
        <w:rPr>
          <w:rFonts w:ascii="Times New Roman" w:hAnsi="Times New Roman"/>
          <w:sz w:val="26"/>
          <w:szCs w:val="26"/>
        </w:rPr>
      </w:pPr>
      <w:r w:rsidRPr="00CC5BF1">
        <w:rPr>
          <w:rFonts w:ascii="Times New Roman" w:hAnsi="Times New Roman"/>
          <w:sz w:val="26"/>
          <w:szCs w:val="26"/>
        </w:rPr>
        <w:lastRenderedPageBreak/>
        <w:t>На рынке услуг ЖКХ  самым неудовлетворительным являются услуги по управлению многоквартирными домами.</w:t>
      </w:r>
    </w:p>
    <w:p w:rsidR="00E137AE" w:rsidRPr="000A55C0" w:rsidRDefault="00E137AE" w:rsidP="00E137AE">
      <w:pPr>
        <w:spacing w:after="0" w:line="36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0A55C0">
        <w:rPr>
          <w:rFonts w:ascii="Times New Roman" w:hAnsi="Times New Roman"/>
          <w:sz w:val="26"/>
          <w:szCs w:val="26"/>
        </w:rPr>
        <w:t xml:space="preserve">По результатам проведенного опроса респондентами выделены следующие </w:t>
      </w:r>
      <w:r w:rsidRPr="000A55C0">
        <w:rPr>
          <w:rFonts w:ascii="Times New Roman" w:hAnsi="Times New Roman"/>
          <w:b/>
          <w:sz w:val="26"/>
          <w:szCs w:val="26"/>
        </w:rPr>
        <w:t>рынки со слабо развитой конкуренцией</w:t>
      </w:r>
      <w:r w:rsidRPr="000A55C0">
        <w:rPr>
          <w:rFonts w:ascii="Times New Roman" w:hAnsi="Times New Roman"/>
          <w:sz w:val="26"/>
          <w:szCs w:val="26"/>
        </w:rPr>
        <w:t xml:space="preserve">: </w:t>
      </w:r>
    </w:p>
    <w:p w:rsidR="007A3744" w:rsidRDefault="007A3744" w:rsidP="00E137AE">
      <w:pPr>
        <w:spacing w:after="0"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7A3744" w:rsidRDefault="007A3744" w:rsidP="007A3744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A37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4505" cy="3200400"/>
            <wp:effectExtent l="38100" t="19050" r="256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7614" w:rsidRDefault="00487614" w:rsidP="00CC5BF1">
      <w:pPr>
        <w:jc w:val="both"/>
        <w:rPr>
          <w:rFonts w:ascii="Times New Roman" w:hAnsi="Times New Roman"/>
          <w:sz w:val="26"/>
          <w:szCs w:val="26"/>
        </w:rPr>
      </w:pPr>
    </w:p>
    <w:p w:rsidR="00E137AE" w:rsidRDefault="007A3744" w:rsidP="000A62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="005D015C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 xml:space="preserve"> опрошенных резидентов </w:t>
      </w:r>
      <w:r w:rsidR="005D015C">
        <w:rPr>
          <w:rFonts w:ascii="Times New Roman" w:hAnsi="Times New Roman"/>
          <w:sz w:val="26"/>
          <w:szCs w:val="26"/>
        </w:rPr>
        <w:t>большая</w:t>
      </w:r>
      <w:r>
        <w:rPr>
          <w:rFonts w:ascii="Times New Roman" w:hAnsi="Times New Roman"/>
          <w:sz w:val="26"/>
          <w:szCs w:val="26"/>
        </w:rPr>
        <w:t xml:space="preserve"> их часть (</w:t>
      </w:r>
      <w:r w:rsidR="005D015C">
        <w:rPr>
          <w:rFonts w:ascii="Times New Roman" w:hAnsi="Times New Roman"/>
          <w:sz w:val="26"/>
          <w:szCs w:val="26"/>
        </w:rPr>
        <w:t>45,9</w:t>
      </w:r>
      <w:r>
        <w:rPr>
          <w:rFonts w:ascii="Times New Roman" w:hAnsi="Times New Roman"/>
          <w:sz w:val="26"/>
          <w:szCs w:val="26"/>
        </w:rPr>
        <w:t>%) считают рынок жилищно-коммунального хозяйства</w:t>
      </w:r>
      <w:r w:rsidR="005D015C">
        <w:rPr>
          <w:rFonts w:ascii="Times New Roman" w:hAnsi="Times New Roman"/>
          <w:sz w:val="26"/>
          <w:szCs w:val="26"/>
        </w:rPr>
        <w:t xml:space="preserve"> и медицинских услуг</w:t>
      </w:r>
      <w:r>
        <w:rPr>
          <w:rFonts w:ascii="Times New Roman" w:hAnsi="Times New Roman"/>
          <w:sz w:val="26"/>
          <w:szCs w:val="26"/>
        </w:rPr>
        <w:t xml:space="preserve"> со слабо выраженной конкуренцией.</w:t>
      </w:r>
    </w:p>
    <w:p w:rsidR="00787318" w:rsidRDefault="00787318" w:rsidP="000A62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данным территориального отдела Управления Федеральной службы по надзору в сфере защиты прав потребителей и благополучия человека по Приморскому краю в г. Спасск-Дальний за 201</w:t>
      </w:r>
      <w:r w:rsidR="00342C6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поступило </w:t>
      </w:r>
      <w:r w:rsidR="00342C62">
        <w:rPr>
          <w:rFonts w:ascii="Times New Roman" w:hAnsi="Times New Roman"/>
          <w:sz w:val="26"/>
          <w:szCs w:val="26"/>
        </w:rPr>
        <w:t>146</w:t>
      </w:r>
      <w:r>
        <w:rPr>
          <w:rFonts w:ascii="Times New Roman" w:hAnsi="Times New Roman"/>
          <w:sz w:val="26"/>
          <w:szCs w:val="26"/>
        </w:rPr>
        <w:t xml:space="preserve"> обращений, что ниже уровня 201</w:t>
      </w:r>
      <w:r w:rsidR="00342C6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на </w:t>
      </w:r>
      <w:r w:rsidR="00342C6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1,</w:t>
      </w:r>
      <w:r w:rsidR="00342C6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</w:t>
      </w:r>
      <w:r w:rsidR="00342C62">
        <w:rPr>
          <w:rFonts w:ascii="Times New Roman" w:hAnsi="Times New Roman"/>
          <w:sz w:val="26"/>
          <w:szCs w:val="26"/>
        </w:rPr>
        <w:t xml:space="preserve"> (165 обращений)</w:t>
      </w:r>
      <w:r w:rsidR="00AD27F6">
        <w:rPr>
          <w:rFonts w:ascii="Times New Roman" w:hAnsi="Times New Roman"/>
          <w:sz w:val="26"/>
          <w:szCs w:val="26"/>
        </w:rPr>
        <w:t>.</w:t>
      </w:r>
    </w:p>
    <w:p w:rsidR="00C54292" w:rsidRDefault="00C54292" w:rsidP="000A62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отраслям экономики больше всего поступило обращений в сфере розничной торговли – 4</w:t>
      </w:r>
      <w:r w:rsidR="00342C6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услуг жили</w:t>
      </w:r>
      <w:r w:rsidR="00342C62">
        <w:rPr>
          <w:rFonts w:ascii="Times New Roman" w:hAnsi="Times New Roman"/>
          <w:sz w:val="26"/>
          <w:szCs w:val="26"/>
        </w:rPr>
        <w:t>щно-коммунального хозяйства – 76</w:t>
      </w:r>
      <w:r>
        <w:rPr>
          <w:rFonts w:ascii="Times New Roman" w:hAnsi="Times New Roman"/>
          <w:sz w:val="26"/>
          <w:szCs w:val="26"/>
        </w:rPr>
        <w:t>. О</w:t>
      </w:r>
      <w:r w:rsidR="00AD27F6">
        <w:rPr>
          <w:rFonts w:ascii="Times New Roman" w:hAnsi="Times New Roman"/>
          <w:sz w:val="26"/>
          <w:szCs w:val="26"/>
        </w:rPr>
        <w:t>днако положительная динамика на</w:t>
      </w:r>
      <w:r>
        <w:rPr>
          <w:rFonts w:ascii="Times New Roman" w:hAnsi="Times New Roman"/>
          <w:sz w:val="26"/>
          <w:szCs w:val="26"/>
        </w:rPr>
        <w:t xml:space="preserve">блюдается в сфере </w:t>
      </w:r>
      <w:r w:rsidR="0091717D">
        <w:rPr>
          <w:rFonts w:ascii="Times New Roman" w:hAnsi="Times New Roman"/>
          <w:sz w:val="26"/>
          <w:szCs w:val="26"/>
        </w:rPr>
        <w:t>общественного питания</w:t>
      </w:r>
      <w:r>
        <w:rPr>
          <w:rFonts w:ascii="Times New Roman" w:hAnsi="Times New Roman"/>
          <w:sz w:val="26"/>
          <w:szCs w:val="26"/>
        </w:rPr>
        <w:t xml:space="preserve">, где число обращений </w:t>
      </w:r>
      <w:r w:rsidR="00AD27F6">
        <w:rPr>
          <w:rFonts w:ascii="Times New Roman" w:hAnsi="Times New Roman"/>
          <w:sz w:val="26"/>
          <w:szCs w:val="26"/>
        </w:rPr>
        <w:t>по сравнению с 201</w:t>
      </w:r>
      <w:r w:rsidR="0091717D">
        <w:rPr>
          <w:rFonts w:ascii="Times New Roman" w:hAnsi="Times New Roman"/>
          <w:sz w:val="26"/>
          <w:szCs w:val="26"/>
        </w:rPr>
        <w:t>7</w:t>
      </w:r>
      <w:r w:rsidR="00AD27F6">
        <w:rPr>
          <w:rFonts w:ascii="Times New Roman" w:hAnsi="Times New Roman"/>
          <w:sz w:val="26"/>
          <w:szCs w:val="26"/>
        </w:rPr>
        <w:t xml:space="preserve"> годом снизилась на </w:t>
      </w:r>
      <w:r w:rsidR="0091717D">
        <w:rPr>
          <w:rFonts w:ascii="Times New Roman" w:hAnsi="Times New Roman"/>
          <w:sz w:val="26"/>
          <w:szCs w:val="26"/>
        </w:rPr>
        <w:t xml:space="preserve">58,3%, в сфере строительства </w:t>
      </w:r>
      <w:r w:rsidR="004A7DD5">
        <w:rPr>
          <w:rFonts w:ascii="Times New Roman" w:hAnsi="Times New Roman"/>
          <w:sz w:val="26"/>
          <w:szCs w:val="26"/>
        </w:rPr>
        <w:t xml:space="preserve">- </w:t>
      </w:r>
      <w:r w:rsidR="0091717D">
        <w:rPr>
          <w:rFonts w:ascii="Times New Roman" w:hAnsi="Times New Roman"/>
          <w:sz w:val="26"/>
          <w:szCs w:val="26"/>
        </w:rPr>
        <w:t>на 55,5%</w:t>
      </w:r>
      <w:r w:rsidR="004A7DD5">
        <w:rPr>
          <w:rFonts w:ascii="Times New Roman" w:hAnsi="Times New Roman"/>
          <w:sz w:val="26"/>
          <w:szCs w:val="26"/>
        </w:rPr>
        <w:t xml:space="preserve">, образования – на 44,4%. </w:t>
      </w:r>
      <w:r w:rsidR="00AD27F6">
        <w:rPr>
          <w:rFonts w:ascii="Times New Roman" w:hAnsi="Times New Roman"/>
          <w:sz w:val="26"/>
          <w:szCs w:val="26"/>
        </w:rPr>
        <w:t xml:space="preserve"> В сфере </w:t>
      </w:r>
      <w:r w:rsidR="004A7DD5">
        <w:rPr>
          <w:rFonts w:ascii="Times New Roman" w:hAnsi="Times New Roman"/>
          <w:sz w:val="26"/>
          <w:szCs w:val="26"/>
        </w:rPr>
        <w:t>медицинских услуг в 2018 году обращений не поступало.</w:t>
      </w:r>
    </w:p>
    <w:p w:rsidR="00F936DF" w:rsidRDefault="00F936DF" w:rsidP="000A62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936DF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20439" cy="4340299"/>
            <wp:effectExtent l="38100" t="19050" r="27911" b="3101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2BC8" w:rsidRDefault="00452BC8" w:rsidP="000A6276">
      <w:pPr>
        <w:spacing w:after="0" w:line="36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770133" w:rsidRDefault="00770133" w:rsidP="000A6276">
      <w:pPr>
        <w:spacing w:after="0" w:line="36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770133">
        <w:rPr>
          <w:rFonts w:ascii="Times New Roman" w:hAnsi="Times New Roman"/>
          <w:sz w:val="26"/>
          <w:szCs w:val="26"/>
        </w:rPr>
        <w:t>Потребителями товаров, работ услуг дана оценка уровня  защиты прав потребителей в муниципальном обра</w:t>
      </w:r>
      <w:r w:rsidR="00D24B31">
        <w:rPr>
          <w:rFonts w:ascii="Times New Roman" w:hAnsi="Times New Roman"/>
          <w:sz w:val="26"/>
          <w:szCs w:val="26"/>
        </w:rPr>
        <w:t xml:space="preserve">зовании.  По результатам анкетирования 67,7% опрошенных </w:t>
      </w:r>
      <w:r w:rsidRPr="00770133">
        <w:rPr>
          <w:rFonts w:ascii="Times New Roman" w:hAnsi="Times New Roman"/>
          <w:sz w:val="26"/>
          <w:szCs w:val="26"/>
        </w:rPr>
        <w:t>оцен</w:t>
      </w:r>
      <w:r w:rsidR="00D24B31">
        <w:rPr>
          <w:rFonts w:ascii="Times New Roman" w:hAnsi="Times New Roman"/>
          <w:sz w:val="26"/>
          <w:szCs w:val="26"/>
        </w:rPr>
        <w:t>или</w:t>
      </w:r>
      <w:r w:rsidRPr="00770133">
        <w:rPr>
          <w:rFonts w:ascii="Times New Roman" w:hAnsi="Times New Roman"/>
          <w:sz w:val="26"/>
          <w:szCs w:val="26"/>
        </w:rPr>
        <w:t xml:space="preserve"> защит</w:t>
      </w:r>
      <w:r w:rsidR="00D24B31">
        <w:rPr>
          <w:rFonts w:ascii="Times New Roman" w:hAnsi="Times New Roman"/>
          <w:sz w:val="26"/>
          <w:szCs w:val="26"/>
        </w:rPr>
        <w:t>у</w:t>
      </w:r>
      <w:r w:rsidRPr="00770133">
        <w:rPr>
          <w:rFonts w:ascii="Times New Roman" w:hAnsi="Times New Roman"/>
          <w:sz w:val="26"/>
          <w:szCs w:val="26"/>
        </w:rPr>
        <w:t xml:space="preserve"> прав потребителей</w:t>
      </w:r>
      <w:r w:rsidR="00D24B31">
        <w:rPr>
          <w:rFonts w:ascii="Times New Roman" w:hAnsi="Times New Roman"/>
          <w:sz w:val="26"/>
          <w:szCs w:val="26"/>
        </w:rPr>
        <w:t xml:space="preserve"> удовлетворительно и хорошо.</w:t>
      </w:r>
      <w:r w:rsidRPr="00770133">
        <w:rPr>
          <w:rFonts w:ascii="Times New Roman" w:hAnsi="Times New Roman"/>
          <w:sz w:val="26"/>
          <w:szCs w:val="26"/>
        </w:rPr>
        <w:t xml:space="preserve">  </w:t>
      </w:r>
    </w:p>
    <w:p w:rsidR="00260E20" w:rsidRDefault="00260E20" w:rsidP="000A6276">
      <w:pPr>
        <w:spacing w:after="0" w:line="360" w:lineRule="auto"/>
        <w:ind w:right="-2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0E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Индекс цен на </w:t>
      </w:r>
      <w:r w:rsidRPr="00260E2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продовольственные товары</w:t>
      </w:r>
      <w:r w:rsidRPr="00260E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составил  </w:t>
      </w:r>
      <w:r w:rsidR="006C6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104,7</w:t>
      </w:r>
      <w:r w:rsidRPr="00260E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%, на </w:t>
      </w:r>
      <w:r w:rsidRPr="00260E2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непродовольственные товары</w:t>
      </w:r>
      <w:r w:rsidRPr="00260E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составил  </w:t>
      </w:r>
      <w:r w:rsidR="006C6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102,7</w:t>
      </w:r>
      <w:r w:rsidRPr="00260E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FE2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декабрю 201</w:t>
      </w:r>
      <w:r w:rsidR="006C6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FE2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Pr="00260E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A55C0" w:rsidRPr="000A55C0" w:rsidRDefault="000A55C0" w:rsidP="000A6276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55C0">
        <w:rPr>
          <w:rFonts w:ascii="Times New Roman" w:hAnsi="Times New Roman"/>
          <w:sz w:val="26"/>
          <w:szCs w:val="26"/>
        </w:rPr>
        <w:t xml:space="preserve">Стоимость минимального набора продуктов питания в </w:t>
      </w:r>
      <w:r w:rsidR="00FE21CF">
        <w:rPr>
          <w:rFonts w:ascii="Times New Roman" w:hAnsi="Times New Roman"/>
          <w:sz w:val="26"/>
          <w:szCs w:val="26"/>
        </w:rPr>
        <w:t>декабре</w:t>
      </w:r>
      <w:r w:rsidRPr="000A55C0">
        <w:rPr>
          <w:rFonts w:ascii="Times New Roman" w:hAnsi="Times New Roman"/>
          <w:sz w:val="26"/>
          <w:szCs w:val="26"/>
        </w:rPr>
        <w:t xml:space="preserve"> 201</w:t>
      </w:r>
      <w:r w:rsidR="006C666A">
        <w:rPr>
          <w:rFonts w:ascii="Times New Roman" w:hAnsi="Times New Roman"/>
          <w:sz w:val="26"/>
          <w:szCs w:val="26"/>
        </w:rPr>
        <w:t>8</w:t>
      </w:r>
      <w:r w:rsidRPr="000A55C0">
        <w:rPr>
          <w:rFonts w:ascii="Times New Roman" w:hAnsi="Times New Roman"/>
          <w:sz w:val="26"/>
          <w:szCs w:val="26"/>
        </w:rPr>
        <w:t xml:space="preserve"> года в городском округе </w:t>
      </w:r>
      <w:r w:rsidR="006C666A">
        <w:rPr>
          <w:rFonts w:ascii="Times New Roman" w:hAnsi="Times New Roman"/>
          <w:sz w:val="26"/>
          <w:szCs w:val="26"/>
        </w:rPr>
        <w:t>4772,</w:t>
      </w:r>
      <w:r w:rsidR="006C666A" w:rsidRPr="00A42F48">
        <w:rPr>
          <w:rFonts w:ascii="Times New Roman" w:hAnsi="Times New Roman"/>
          <w:sz w:val="26"/>
          <w:szCs w:val="26"/>
        </w:rPr>
        <w:t>38</w:t>
      </w:r>
      <w:r w:rsidRPr="000A55C0">
        <w:rPr>
          <w:rFonts w:ascii="Times New Roman" w:hAnsi="Times New Roman"/>
          <w:sz w:val="26"/>
          <w:szCs w:val="26"/>
        </w:rPr>
        <w:t>рублей</w:t>
      </w:r>
      <w:r w:rsidRPr="000A55C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A55C0">
        <w:rPr>
          <w:rFonts w:ascii="Times New Roman" w:hAnsi="Times New Roman"/>
          <w:sz w:val="26"/>
          <w:szCs w:val="26"/>
        </w:rPr>
        <w:t xml:space="preserve">и составила </w:t>
      </w:r>
      <w:r w:rsidR="005B515D">
        <w:rPr>
          <w:rFonts w:ascii="Times New Roman" w:hAnsi="Times New Roman"/>
          <w:sz w:val="26"/>
          <w:szCs w:val="26"/>
        </w:rPr>
        <w:t>106,4</w:t>
      </w:r>
      <w:r w:rsidRPr="000A55C0">
        <w:rPr>
          <w:rFonts w:ascii="Times New Roman" w:hAnsi="Times New Roman"/>
          <w:sz w:val="26"/>
          <w:szCs w:val="26"/>
        </w:rPr>
        <w:t xml:space="preserve">% к </w:t>
      </w:r>
      <w:r w:rsidR="005B51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декабрю 2017 года</w:t>
      </w:r>
      <w:r w:rsidRPr="000A55C0">
        <w:rPr>
          <w:rFonts w:ascii="Times New Roman" w:hAnsi="Times New Roman"/>
          <w:sz w:val="26"/>
          <w:szCs w:val="26"/>
        </w:rPr>
        <w:t>.</w:t>
      </w:r>
    </w:p>
    <w:p w:rsidR="00260E20" w:rsidRDefault="00260E20" w:rsidP="000A6276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55C0">
        <w:rPr>
          <w:rFonts w:ascii="Times New Roman" w:hAnsi="Times New Roman"/>
          <w:sz w:val="26"/>
          <w:szCs w:val="26"/>
        </w:rPr>
        <w:t xml:space="preserve">По данным комплексного доклада Росстата за </w:t>
      </w:r>
      <w:r w:rsidR="00FE21CF">
        <w:rPr>
          <w:rFonts w:ascii="Times New Roman" w:hAnsi="Times New Roman"/>
          <w:sz w:val="26"/>
          <w:szCs w:val="26"/>
        </w:rPr>
        <w:t>декабрь</w:t>
      </w:r>
      <w:r w:rsidRPr="000A55C0">
        <w:rPr>
          <w:rFonts w:ascii="Times New Roman" w:hAnsi="Times New Roman"/>
          <w:sz w:val="26"/>
          <w:szCs w:val="26"/>
        </w:rPr>
        <w:t xml:space="preserve"> 201</w:t>
      </w:r>
      <w:r w:rsidR="005B515D">
        <w:rPr>
          <w:rFonts w:ascii="Times New Roman" w:hAnsi="Times New Roman"/>
          <w:sz w:val="26"/>
          <w:szCs w:val="26"/>
        </w:rPr>
        <w:t>8</w:t>
      </w:r>
      <w:r w:rsidRPr="000A55C0">
        <w:rPr>
          <w:rFonts w:ascii="Times New Roman" w:hAnsi="Times New Roman"/>
          <w:sz w:val="26"/>
          <w:szCs w:val="26"/>
        </w:rPr>
        <w:t xml:space="preserve"> года цены на основные  продовольственные товары в городском округе Спасск-Дальний по-прежнему остаются ниже уровня средних цен по Приморскому краю. </w:t>
      </w:r>
    </w:p>
    <w:p w:rsidR="00B808A4" w:rsidRDefault="00B808A4" w:rsidP="000A6276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808A4" w:rsidRDefault="00B808A4" w:rsidP="000A6276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2995"/>
        <w:gridCol w:w="4269"/>
        <w:gridCol w:w="2307"/>
      </w:tblGrid>
      <w:tr w:rsidR="005B515D" w:rsidTr="00B60964">
        <w:trPr>
          <w:trHeight w:val="129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515D" w:rsidRDefault="005B515D" w:rsidP="00B60964">
            <w:pPr>
              <w:spacing w:line="320" w:lineRule="exac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5B515D" w:rsidRDefault="005B515D" w:rsidP="00B60964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B515D" w:rsidRDefault="005B515D" w:rsidP="00B60964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5D" w:rsidRDefault="005B515D" w:rsidP="00B60964">
            <w:pPr>
              <w:spacing w:line="320" w:lineRule="exac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Стоимость минимального набора</w:t>
            </w:r>
          </w:p>
          <w:p w:rsidR="005B515D" w:rsidRDefault="005B515D" w:rsidP="00B60964">
            <w:pPr>
              <w:spacing w:line="320" w:lineRule="exac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продуктов питания</w:t>
            </w:r>
          </w:p>
          <w:p w:rsidR="005B515D" w:rsidRDefault="005B515D" w:rsidP="00B60964">
            <w:pPr>
              <w:spacing w:line="320" w:lineRule="exac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 декабре 2018, рублей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5D" w:rsidRDefault="005B515D" w:rsidP="00B60964">
            <w:pPr>
              <w:spacing w:line="320" w:lineRule="exac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Изменение</w:t>
            </w:r>
          </w:p>
          <w:p w:rsidR="005B515D" w:rsidRDefault="005B515D" w:rsidP="00B60964">
            <w:pPr>
              <w:spacing w:line="320" w:lineRule="exac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стоимости</w:t>
            </w:r>
          </w:p>
          <w:p w:rsidR="005B515D" w:rsidRDefault="005B515D" w:rsidP="00B60964">
            <w:pPr>
              <w:spacing w:line="320" w:lineRule="exact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набора,  в % к</w:t>
            </w:r>
          </w:p>
          <w:p w:rsidR="005B515D" w:rsidRDefault="005B515D" w:rsidP="00B60964">
            <w:pPr>
              <w:spacing w:line="320" w:lineRule="exact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декабрю 20</w:t>
            </w:r>
            <w:r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ru-MO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eastAsia="ru-RU"/>
              </w:rPr>
              <w:t>7</w:t>
            </w:r>
          </w:p>
        </w:tc>
      </w:tr>
      <w:tr w:rsidR="005B515D" w:rsidTr="00B60964">
        <w:trPr>
          <w:trHeight w:val="3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515D" w:rsidRDefault="005B515D" w:rsidP="00B60964">
            <w:pPr>
              <w:spacing w:before="120" w:line="320" w:lineRule="exact"/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Приморский край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515D" w:rsidRPr="00A42F48" w:rsidRDefault="005B515D" w:rsidP="00B60964">
            <w:pPr>
              <w:spacing w:before="120"/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8">
              <w:rPr>
                <w:rFonts w:ascii="Times New Roman" w:hAnsi="Times New Roman"/>
                <w:sz w:val="26"/>
                <w:szCs w:val="26"/>
              </w:rPr>
              <w:t>5206.14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515D" w:rsidRPr="00A42F48" w:rsidRDefault="005B515D" w:rsidP="00B60964">
            <w:pPr>
              <w:spacing w:before="120"/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8">
              <w:rPr>
                <w:rFonts w:ascii="Times New Roman" w:hAnsi="Times New Roman"/>
                <w:sz w:val="26"/>
                <w:szCs w:val="26"/>
              </w:rPr>
              <w:t>105.1</w:t>
            </w:r>
          </w:p>
        </w:tc>
      </w:tr>
      <w:tr w:rsidR="005B515D" w:rsidTr="00B60964">
        <w:trPr>
          <w:trHeight w:val="330"/>
        </w:trPr>
        <w:tc>
          <w:tcPr>
            <w:tcW w:w="15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15D" w:rsidRDefault="005B515D" w:rsidP="00B60964">
            <w:pPr>
              <w:spacing w:before="120"/>
              <w:ind w:left="170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городские округа:</w:t>
            </w:r>
          </w:p>
        </w:tc>
        <w:tc>
          <w:tcPr>
            <w:tcW w:w="223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515D" w:rsidRPr="00A42F48" w:rsidRDefault="005B515D" w:rsidP="00B60964">
            <w:pPr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515D" w:rsidRPr="00A42F48" w:rsidRDefault="005B515D" w:rsidP="00B60964">
            <w:pPr>
              <w:spacing w:before="120"/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15D" w:rsidTr="00B60964">
        <w:trPr>
          <w:trHeight w:val="330"/>
        </w:trPr>
        <w:tc>
          <w:tcPr>
            <w:tcW w:w="15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15D" w:rsidRDefault="005B515D" w:rsidP="00B60964">
            <w:pPr>
              <w:ind w:left="170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6"/>
                <w:szCs w:val="24"/>
                <w:lang w:eastAsia="ru-RU"/>
              </w:rPr>
              <w:t>Владивостокский</w:t>
            </w:r>
          </w:p>
        </w:tc>
        <w:tc>
          <w:tcPr>
            <w:tcW w:w="223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5D" w:rsidRPr="00A42F48" w:rsidRDefault="005B515D" w:rsidP="00B60964">
            <w:pPr>
              <w:ind w:right="1418"/>
              <w:jc w:val="right"/>
              <w:rPr>
                <w:rFonts w:ascii="Times New Roman" w:hAnsi="Times New Roman"/>
                <w:sz w:val="26"/>
              </w:rPr>
            </w:pPr>
            <w:r w:rsidRPr="00A42F48">
              <w:rPr>
                <w:rFonts w:ascii="Times New Roman" w:hAnsi="Times New Roman"/>
                <w:sz w:val="26"/>
              </w:rPr>
              <w:t>5462.31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5D" w:rsidRPr="00A42F48" w:rsidRDefault="005B515D" w:rsidP="00B60964">
            <w:pPr>
              <w:ind w:right="510"/>
              <w:jc w:val="right"/>
              <w:rPr>
                <w:rFonts w:ascii="Times New Roman" w:hAnsi="Times New Roman"/>
                <w:sz w:val="26"/>
              </w:rPr>
            </w:pPr>
            <w:r w:rsidRPr="00A42F48">
              <w:rPr>
                <w:rFonts w:ascii="Times New Roman" w:hAnsi="Times New Roman"/>
                <w:sz w:val="26"/>
              </w:rPr>
              <w:t>104.1</w:t>
            </w:r>
          </w:p>
        </w:tc>
      </w:tr>
      <w:tr w:rsidR="005B515D" w:rsidTr="00B60964">
        <w:trPr>
          <w:trHeight w:val="100"/>
        </w:trPr>
        <w:tc>
          <w:tcPr>
            <w:tcW w:w="15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15D" w:rsidRDefault="005B515D" w:rsidP="00B60964">
            <w:pPr>
              <w:ind w:left="170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Находкинский</w:t>
            </w:r>
          </w:p>
        </w:tc>
        <w:tc>
          <w:tcPr>
            <w:tcW w:w="223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5D" w:rsidRPr="00A42F48" w:rsidRDefault="005B515D" w:rsidP="00B60964">
            <w:pPr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8">
              <w:rPr>
                <w:rFonts w:ascii="Times New Roman" w:hAnsi="Times New Roman"/>
                <w:sz w:val="26"/>
                <w:szCs w:val="26"/>
              </w:rPr>
              <w:t>5391.39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5D" w:rsidRPr="00A42F48" w:rsidRDefault="005B515D" w:rsidP="00B60964">
            <w:pPr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8">
              <w:rPr>
                <w:rFonts w:ascii="Times New Roman" w:hAnsi="Times New Roman"/>
                <w:sz w:val="26"/>
                <w:szCs w:val="26"/>
              </w:rPr>
              <w:t>106.4</w:t>
            </w:r>
          </w:p>
        </w:tc>
      </w:tr>
      <w:tr w:rsidR="005B515D" w:rsidTr="00B60964">
        <w:trPr>
          <w:trHeight w:val="330"/>
        </w:trPr>
        <w:tc>
          <w:tcPr>
            <w:tcW w:w="15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15D" w:rsidRDefault="005B515D" w:rsidP="00B60964">
            <w:pPr>
              <w:ind w:left="170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Уссурийский</w:t>
            </w:r>
          </w:p>
        </w:tc>
        <w:tc>
          <w:tcPr>
            <w:tcW w:w="223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5D" w:rsidRPr="00A42F48" w:rsidRDefault="005B515D" w:rsidP="00B60964">
            <w:pPr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8">
              <w:rPr>
                <w:rFonts w:ascii="Times New Roman" w:hAnsi="Times New Roman"/>
                <w:sz w:val="26"/>
                <w:szCs w:val="26"/>
              </w:rPr>
              <w:t>4763.85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5D" w:rsidRPr="00A42F48" w:rsidRDefault="005B515D" w:rsidP="00B60964">
            <w:pPr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8">
              <w:rPr>
                <w:rFonts w:ascii="Times New Roman" w:hAnsi="Times New Roman"/>
                <w:sz w:val="26"/>
                <w:szCs w:val="26"/>
              </w:rPr>
              <w:t>106.0</w:t>
            </w:r>
          </w:p>
        </w:tc>
      </w:tr>
      <w:tr w:rsidR="005B515D" w:rsidTr="00B60964">
        <w:trPr>
          <w:trHeight w:val="330"/>
        </w:trPr>
        <w:tc>
          <w:tcPr>
            <w:tcW w:w="1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5D" w:rsidRDefault="005B515D" w:rsidP="00B60964">
            <w:pPr>
              <w:spacing w:after="40"/>
              <w:ind w:left="170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Спасск-Дальний</w:t>
            </w:r>
          </w:p>
        </w:tc>
        <w:tc>
          <w:tcPr>
            <w:tcW w:w="2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5D" w:rsidRPr="00A42F48" w:rsidRDefault="005B515D" w:rsidP="00B60964">
            <w:pPr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8">
              <w:rPr>
                <w:rFonts w:ascii="Times New Roman" w:hAnsi="Times New Roman"/>
                <w:sz w:val="26"/>
                <w:szCs w:val="26"/>
              </w:rPr>
              <w:t>4772.38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5D" w:rsidRPr="00A42F48" w:rsidRDefault="005B515D" w:rsidP="00B60964">
            <w:pPr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8">
              <w:rPr>
                <w:rFonts w:ascii="Times New Roman" w:hAnsi="Times New Roman"/>
                <w:sz w:val="26"/>
                <w:szCs w:val="26"/>
              </w:rPr>
              <w:t>106.4</w:t>
            </w:r>
          </w:p>
        </w:tc>
      </w:tr>
    </w:tbl>
    <w:p w:rsidR="005B515D" w:rsidRDefault="005B515D" w:rsidP="000A6276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55C0" w:rsidRPr="00487614" w:rsidRDefault="000A55C0" w:rsidP="000A6276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 w:rsidRPr="00487614">
        <w:rPr>
          <w:bCs/>
          <w:sz w:val="26"/>
          <w:szCs w:val="26"/>
        </w:rPr>
        <w:t xml:space="preserve">В соответствии с распоряжением Правительства РФ от 5 сентября  2015 года № 1738-р, распоряжением Губернатора Приморского края от 1 декабря 2015 года № 233-рг  принято решение о внедрении Стандарта развития конкуренции, в Приморском крае. </w:t>
      </w:r>
    </w:p>
    <w:p w:rsidR="000A55C0" w:rsidRPr="00487614" w:rsidRDefault="000A55C0" w:rsidP="000A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7614">
        <w:rPr>
          <w:rFonts w:ascii="Times New Roman" w:hAnsi="Times New Roman"/>
          <w:sz w:val="26"/>
          <w:szCs w:val="26"/>
          <w:lang w:eastAsia="ru-RU"/>
        </w:rPr>
        <w:t xml:space="preserve">         В 2016 году заключено  соглашение о взаимодействии в рамках внедрения стандарта развития конкуренции в Приморском крае между уполномоченным органом исполнительной власти по содействию развитию конкуренции в Приморском крае – департаментом экономики и развития предпринимательства Приморского края и Администрацией городского округа Спасск-Дальний.</w:t>
      </w:r>
    </w:p>
    <w:p w:rsidR="000A55C0" w:rsidRPr="00487614" w:rsidRDefault="000A55C0" w:rsidP="000A6276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 w:rsidRPr="00487614">
        <w:rPr>
          <w:bCs/>
          <w:sz w:val="26"/>
          <w:szCs w:val="26"/>
        </w:rPr>
        <w:t>Распоряжением Администрации городского округа Спасск-Дальний от 23.06.2017 № 334-ра определен уполномоченный орган по содействию развитию конкуренции и внедрению в городском округе Спасск-Дальний -</w:t>
      </w:r>
      <w:r w:rsidR="000A6276">
        <w:rPr>
          <w:bCs/>
          <w:sz w:val="26"/>
          <w:szCs w:val="26"/>
        </w:rPr>
        <w:t xml:space="preserve"> </w:t>
      </w:r>
      <w:r w:rsidRPr="00487614">
        <w:rPr>
          <w:bCs/>
          <w:sz w:val="26"/>
          <w:szCs w:val="26"/>
        </w:rPr>
        <w:t>управление экономики и муниципального заказа  Администрации городского округа Спасск-Дальний.</w:t>
      </w:r>
    </w:p>
    <w:p w:rsidR="000A55C0" w:rsidRPr="00487614" w:rsidRDefault="000A55C0" w:rsidP="000A6276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 w:rsidRPr="00487614">
        <w:rPr>
          <w:bCs/>
          <w:sz w:val="26"/>
          <w:szCs w:val="26"/>
        </w:rPr>
        <w:t>Распоряжением Администрации городского округа Спасск-Дальний от 13.12.2017 № 574-ра определены социально значимые рынки для содействия развитию конкуренции в городском округе Спасск-Дальний:</w:t>
      </w:r>
    </w:p>
    <w:p w:rsidR="000A55C0" w:rsidRPr="00487614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en-US"/>
        </w:rPr>
      </w:pPr>
      <w:r w:rsidRPr="00487614">
        <w:rPr>
          <w:bCs/>
          <w:sz w:val="26"/>
          <w:szCs w:val="26"/>
        </w:rPr>
        <w:t>р</w:t>
      </w:r>
      <w:r w:rsidRPr="00487614">
        <w:rPr>
          <w:bCs/>
          <w:sz w:val="26"/>
          <w:szCs w:val="26"/>
          <w:lang w:val="en-US"/>
        </w:rPr>
        <w:t xml:space="preserve">ынок </w:t>
      </w:r>
      <w:r w:rsidRPr="00487614">
        <w:rPr>
          <w:bCs/>
          <w:sz w:val="26"/>
          <w:szCs w:val="26"/>
        </w:rPr>
        <w:t>услуг дошкольного образования;</w:t>
      </w:r>
    </w:p>
    <w:p w:rsidR="000A55C0" w:rsidRPr="00487614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487614">
        <w:rPr>
          <w:bCs/>
          <w:sz w:val="26"/>
          <w:szCs w:val="26"/>
        </w:rPr>
        <w:t>рынок услуг дополнительного образования детей;</w:t>
      </w:r>
    </w:p>
    <w:p w:rsidR="000A55C0" w:rsidRPr="00487614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487614">
        <w:rPr>
          <w:bCs/>
          <w:sz w:val="26"/>
          <w:szCs w:val="26"/>
        </w:rPr>
        <w:lastRenderedPageBreak/>
        <w:t>рынок услуг детского отдыха и оздоровления;</w:t>
      </w:r>
    </w:p>
    <w:p w:rsidR="000A55C0" w:rsidRPr="00487614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487614">
        <w:rPr>
          <w:bCs/>
          <w:sz w:val="26"/>
          <w:szCs w:val="26"/>
        </w:rPr>
        <w:t>рынок услуг в сфере культуры;</w:t>
      </w:r>
    </w:p>
    <w:p w:rsidR="000A55C0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487614">
        <w:rPr>
          <w:bCs/>
          <w:sz w:val="26"/>
          <w:szCs w:val="26"/>
        </w:rPr>
        <w:t>рынок розничной торговли;</w:t>
      </w:r>
    </w:p>
    <w:p w:rsidR="000F69EF" w:rsidRPr="00487614" w:rsidRDefault="000F69EF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рынок услуг жилищно-коммунального хозяйства;</w:t>
      </w:r>
    </w:p>
    <w:p w:rsidR="000A55C0" w:rsidRPr="00487614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487614">
        <w:rPr>
          <w:bCs/>
          <w:sz w:val="26"/>
          <w:szCs w:val="26"/>
        </w:rPr>
        <w:t>рынок услуг перевозок пассажиров наземным транспортом.</w:t>
      </w:r>
    </w:p>
    <w:p w:rsidR="000A55C0" w:rsidRDefault="000A55C0" w:rsidP="000A6276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735A02">
        <w:rPr>
          <w:bCs/>
          <w:sz w:val="26"/>
          <w:szCs w:val="26"/>
        </w:rPr>
        <w:t>Распоряжением Администрации городского округа Спасск-Дальний от 13.12.2017 № 574-ра</w:t>
      </w:r>
      <w:r w:rsidR="009A46FD" w:rsidRPr="00735A02">
        <w:rPr>
          <w:bCs/>
          <w:sz w:val="26"/>
          <w:szCs w:val="26"/>
        </w:rPr>
        <w:t xml:space="preserve"> утвержден план мероприятий («Дорожная карта») по содействию развитию конкуренции, развитию конкурентной среды в городском округе Спасск-Дальний.</w:t>
      </w:r>
    </w:p>
    <w:p w:rsidR="00D82360" w:rsidRDefault="009A46FD" w:rsidP="00D82360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35A02">
        <w:rPr>
          <w:bCs/>
          <w:sz w:val="26"/>
          <w:szCs w:val="26"/>
        </w:rPr>
        <w:t>В рамках выполнения системных мероприятий по развитию конкурентной среды на территории города</w:t>
      </w:r>
      <w:r w:rsidR="00735A02" w:rsidRPr="00735A02">
        <w:rPr>
          <w:bCs/>
          <w:sz w:val="26"/>
          <w:szCs w:val="26"/>
        </w:rPr>
        <w:t xml:space="preserve"> в 201</w:t>
      </w:r>
      <w:r w:rsidR="005B515D">
        <w:rPr>
          <w:bCs/>
          <w:sz w:val="26"/>
          <w:szCs w:val="26"/>
        </w:rPr>
        <w:t>8</w:t>
      </w:r>
      <w:r w:rsidR="00735A02" w:rsidRPr="00735A02">
        <w:rPr>
          <w:bCs/>
          <w:sz w:val="26"/>
          <w:szCs w:val="26"/>
        </w:rPr>
        <w:t xml:space="preserve"> году проводился мониторинг</w:t>
      </w:r>
      <w:r w:rsidR="00735A02" w:rsidRPr="00735A02">
        <w:rPr>
          <w:sz w:val="26"/>
          <w:szCs w:val="26"/>
        </w:rPr>
        <w:t xml:space="preserve"> оказываемых муниципальных услуг, который выявил отсутствие в городском округе административных барьеров для юридических лиц и индивидуальных предпринимателей на ведение предпринимательской деятельности. </w:t>
      </w:r>
      <w:r w:rsidR="00D82360" w:rsidRPr="00D82360">
        <w:rPr>
          <w:sz w:val="26"/>
          <w:szCs w:val="26"/>
        </w:rPr>
        <w:t>В 2018 году в целях создания благоприятной обстановки для ведения предпринимательской деятельности проведена работа по изменению стандартов регламентов 2 муниципальных услуг (выдача ордеров на выполнение земляных работ и утверждение схем границ земельных участков) в части уменьшения сроков их предоставления.</w:t>
      </w:r>
    </w:p>
    <w:p w:rsidR="00D24B31" w:rsidRDefault="00D24B31" w:rsidP="00D24B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A02">
        <w:rPr>
          <w:rFonts w:ascii="Times New Roman" w:hAnsi="Times New Roman"/>
          <w:sz w:val="26"/>
          <w:szCs w:val="26"/>
        </w:rPr>
        <w:t>Администрация городского округа Спасск-Дальний на протяжении всего 201</w:t>
      </w:r>
      <w:r>
        <w:rPr>
          <w:rFonts w:ascii="Times New Roman" w:hAnsi="Times New Roman"/>
          <w:sz w:val="26"/>
          <w:szCs w:val="26"/>
        </w:rPr>
        <w:t xml:space="preserve">8 года решала задачи </w:t>
      </w:r>
      <w:r w:rsidRPr="00735A02">
        <w:rPr>
          <w:rFonts w:ascii="Times New Roman" w:hAnsi="Times New Roman"/>
          <w:sz w:val="26"/>
          <w:szCs w:val="26"/>
        </w:rPr>
        <w:t xml:space="preserve">с целью </w:t>
      </w:r>
      <w:r>
        <w:rPr>
          <w:rFonts w:ascii="Times New Roman" w:hAnsi="Times New Roman"/>
          <w:sz w:val="26"/>
          <w:szCs w:val="26"/>
        </w:rPr>
        <w:t>улучшения условий ведения</w:t>
      </w:r>
      <w:r w:rsidRPr="00735A02">
        <w:rPr>
          <w:rFonts w:ascii="Times New Roman" w:hAnsi="Times New Roman"/>
          <w:sz w:val="26"/>
          <w:szCs w:val="26"/>
        </w:rPr>
        <w:t xml:space="preserve"> предпринимательс</w:t>
      </w:r>
      <w:r>
        <w:rPr>
          <w:rFonts w:ascii="Times New Roman" w:hAnsi="Times New Roman"/>
          <w:sz w:val="26"/>
          <w:szCs w:val="26"/>
        </w:rPr>
        <w:t xml:space="preserve">кой деятельности </w:t>
      </w:r>
      <w:r w:rsidRPr="00735A02">
        <w:rPr>
          <w:rFonts w:ascii="Times New Roman" w:hAnsi="Times New Roman"/>
          <w:sz w:val="26"/>
          <w:szCs w:val="26"/>
        </w:rPr>
        <w:t>в городском округе Спасск-Дальний. Из средств бюджета город</w:t>
      </w:r>
      <w:r>
        <w:rPr>
          <w:rFonts w:ascii="Times New Roman" w:hAnsi="Times New Roman"/>
          <w:sz w:val="26"/>
          <w:szCs w:val="26"/>
        </w:rPr>
        <w:t xml:space="preserve">ского округа Спасск-Дальний </w:t>
      </w:r>
      <w:r w:rsidRPr="00735A02">
        <w:rPr>
          <w:rFonts w:ascii="Times New Roman" w:hAnsi="Times New Roman"/>
          <w:sz w:val="26"/>
          <w:szCs w:val="26"/>
        </w:rPr>
        <w:t>было заложено 500</w:t>
      </w:r>
      <w:r>
        <w:rPr>
          <w:rFonts w:ascii="Times New Roman" w:hAnsi="Times New Roman"/>
          <w:sz w:val="26"/>
          <w:szCs w:val="26"/>
        </w:rPr>
        <w:t>000,00</w:t>
      </w:r>
      <w:r w:rsidRPr="00735A02">
        <w:rPr>
          <w:rFonts w:ascii="Times New Roman" w:hAnsi="Times New Roman"/>
          <w:sz w:val="26"/>
          <w:szCs w:val="26"/>
        </w:rPr>
        <w:t xml:space="preserve"> рублей на поддержку малого </w:t>
      </w:r>
      <w:r>
        <w:rPr>
          <w:rFonts w:ascii="Times New Roman" w:hAnsi="Times New Roman"/>
          <w:sz w:val="26"/>
          <w:szCs w:val="26"/>
        </w:rPr>
        <w:t>и среднего предпринимательства</w:t>
      </w:r>
      <w:r w:rsidRPr="00735A02">
        <w:rPr>
          <w:rFonts w:ascii="Times New Roman" w:hAnsi="Times New Roman"/>
          <w:sz w:val="26"/>
          <w:szCs w:val="26"/>
        </w:rPr>
        <w:t xml:space="preserve">. Из вышестоящих бюджетов поступили субсидии на </w:t>
      </w:r>
      <w:r>
        <w:rPr>
          <w:rFonts w:ascii="Times New Roman" w:hAnsi="Times New Roman"/>
          <w:sz w:val="26"/>
          <w:szCs w:val="26"/>
        </w:rPr>
        <w:t xml:space="preserve">софинансирование </w:t>
      </w:r>
      <w:r w:rsidRPr="00735A02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й</w:t>
      </w:r>
      <w:r w:rsidRPr="00735A02">
        <w:rPr>
          <w:rFonts w:ascii="Times New Roman" w:hAnsi="Times New Roman"/>
          <w:sz w:val="26"/>
          <w:szCs w:val="26"/>
        </w:rPr>
        <w:t xml:space="preserve"> программы в размере </w:t>
      </w:r>
      <w:r>
        <w:rPr>
          <w:rFonts w:ascii="Times New Roman" w:hAnsi="Times New Roman"/>
          <w:sz w:val="26"/>
          <w:szCs w:val="26"/>
        </w:rPr>
        <w:t>3597790,00</w:t>
      </w:r>
      <w:r w:rsidRPr="00735A02">
        <w:rPr>
          <w:rFonts w:ascii="Times New Roman" w:hAnsi="Times New Roman"/>
          <w:sz w:val="26"/>
          <w:szCs w:val="26"/>
        </w:rPr>
        <w:t xml:space="preserve"> рублей. Общая сумма поддержки</w:t>
      </w:r>
      <w:r>
        <w:rPr>
          <w:rFonts w:ascii="Times New Roman" w:hAnsi="Times New Roman"/>
          <w:sz w:val="26"/>
          <w:szCs w:val="26"/>
        </w:rPr>
        <w:t xml:space="preserve"> субъектам малого предпринимательства в 2018 году </w:t>
      </w:r>
      <w:r w:rsidRPr="00735A02">
        <w:rPr>
          <w:rFonts w:ascii="Times New Roman" w:hAnsi="Times New Roman"/>
          <w:sz w:val="26"/>
          <w:szCs w:val="26"/>
        </w:rPr>
        <w:t xml:space="preserve">составила </w:t>
      </w:r>
      <w:r>
        <w:rPr>
          <w:rFonts w:ascii="Times New Roman" w:hAnsi="Times New Roman"/>
          <w:sz w:val="26"/>
          <w:szCs w:val="26"/>
        </w:rPr>
        <w:t>4097790,00</w:t>
      </w:r>
      <w:r w:rsidRPr="00735A02">
        <w:rPr>
          <w:rFonts w:ascii="Times New Roman" w:hAnsi="Times New Roman"/>
          <w:sz w:val="26"/>
          <w:szCs w:val="26"/>
        </w:rPr>
        <w:t xml:space="preserve"> рублей. Поддержку  получили 3 субъекта малого предпринимательства</w:t>
      </w:r>
      <w:r>
        <w:rPr>
          <w:rFonts w:ascii="Times New Roman" w:hAnsi="Times New Roman"/>
          <w:sz w:val="26"/>
          <w:szCs w:val="26"/>
        </w:rPr>
        <w:t xml:space="preserve"> (ООО «Пекарь», ООО «СЛПК-Групп», ООО «Вираж»)</w:t>
      </w:r>
      <w:r w:rsidRPr="00735A02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4</w:t>
      </w:r>
      <w:r w:rsidRPr="00735A02">
        <w:rPr>
          <w:rFonts w:ascii="Times New Roman" w:hAnsi="Times New Roman"/>
          <w:sz w:val="26"/>
          <w:szCs w:val="26"/>
        </w:rPr>
        <w:t xml:space="preserve"> договорам. Все мероприятия были направлены на компенсацию авансового платежа по договорам лизинга. </w:t>
      </w:r>
      <w:r>
        <w:rPr>
          <w:rFonts w:ascii="Times New Roman" w:hAnsi="Times New Roman"/>
          <w:sz w:val="26"/>
          <w:szCs w:val="26"/>
        </w:rPr>
        <w:t>Было приобретено в лизинг хлебопекарное оборудование и специализированный автотранспорт.</w:t>
      </w:r>
    </w:p>
    <w:p w:rsidR="00D24B31" w:rsidRDefault="00D24B31" w:rsidP="00D24B31">
      <w:pPr>
        <w:spacing w:after="0" w:line="360" w:lineRule="auto"/>
        <w:ind w:firstLine="709"/>
        <w:jc w:val="both"/>
      </w:pPr>
      <w:r w:rsidRPr="00E85A93">
        <w:rPr>
          <w:rFonts w:ascii="Times New Roman" w:hAnsi="Times New Roman"/>
          <w:sz w:val="26"/>
          <w:szCs w:val="26"/>
        </w:rPr>
        <w:lastRenderedPageBreak/>
        <w:t>В 2018 году проведены три заседания расширенного Совета по содействию развития малого и среднего предпринимательства при Главе городского округа Спасск-Дальний с предпринимателями городского округа Спасск-Дальний</w:t>
      </w:r>
      <w:r w:rsidRPr="000A6276">
        <w:rPr>
          <w:rFonts w:ascii="Times New Roman" w:hAnsi="Times New Roman"/>
          <w:sz w:val="26"/>
          <w:szCs w:val="26"/>
        </w:rPr>
        <w:t>. В ходе проведения мероприятий</w:t>
      </w:r>
      <w:r>
        <w:rPr>
          <w:rFonts w:ascii="Times New Roman" w:hAnsi="Times New Roman"/>
          <w:sz w:val="26"/>
          <w:szCs w:val="26"/>
        </w:rPr>
        <w:t>,</w:t>
      </w:r>
      <w:r w:rsidRPr="000A6276">
        <w:rPr>
          <w:rFonts w:ascii="Times New Roman" w:hAnsi="Times New Roman"/>
          <w:sz w:val="26"/>
          <w:szCs w:val="26"/>
        </w:rPr>
        <w:t xml:space="preserve"> обсуждались вопросы развития торговой деятельности,</w:t>
      </w:r>
      <w:r>
        <w:rPr>
          <w:rFonts w:ascii="Times New Roman" w:hAnsi="Times New Roman"/>
          <w:sz w:val="26"/>
          <w:szCs w:val="26"/>
        </w:rPr>
        <w:t xml:space="preserve"> в частности согласовывалась схема размещения нестационарных торговых объектов на территории городского округа Спасск-Дальний</w:t>
      </w:r>
      <w:r w:rsidRPr="000A6276">
        <w:rPr>
          <w:rFonts w:ascii="Times New Roman" w:hAnsi="Times New Roman"/>
          <w:sz w:val="26"/>
          <w:szCs w:val="26"/>
        </w:rPr>
        <w:t>. 1</w:t>
      </w:r>
      <w:r>
        <w:rPr>
          <w:rFonts w:ascii="Times New Roman" w:hAnsi="Times New Roman"/>
          <w:sz w:val="26"/>
          <w:szCs w:val="26"/>
        </w:rPr>
        <w:t>6</w:t>
      </w:r>
      <w:r w:rsidRPr="000A62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0A6276">
        <w:rPr>
          <w:rFonts w:ascii="Times New Roman" w:hAnsi="Times New Roman"/>
          <w:sz w:val="26"/>
          <w:szCs w:val="26"/>
        </w:rPr>
        <w:t>ая</w:t>
      </w:r>
      <w:r w:rsidR="006F68F9">
        <w:rPr>
          <w:rFonts w:ascii="Times New Roman" w:hAnsi="Times New Roman"/>
          <w:sz w:val="26"/>
          <w:szCs w:val="26"/>
        </w:rPr>
        <w:t xml:space="preserve"> 2018 г. </w:t>
      </w:r>
      <w:r w:rsidRPr="000A62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лекционном зале Администрации города </w:t>
      </w:r>
      <w:r w:rsidRPr="000A6276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шел</w:t>
      </w:r>
      <w:r w:rsidRPr="000A6276">
        <w:rPr>
          <w:rFonts w:ascii="Times New Roman" w:hAnsi="Times New Roman"/>
          <w:sz w:val="26"/>
          <w:szCs w:val="26"/>
        </w:rPr>
        <w:t xml:space="preserve"> семинар </w:t>
      </w:r>
      <w:r>
        <w:rPr>
          <w:rFonts w:ascii="Times New Roman" w:hAnsi="Times New Roman"/>
          <w:sz w:val="26"/>
          <w:szCs w:val="26"/>
        </w:rPr>
        <w:t xml:space="preserve">в рамках проекта «Школа предпринимательства» </w:t>
      </w:r>
      <w:r w:rsidRPr="000A627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участием Гарантийного фонда Приморского края и «Центра</w:t>
      </w:r>
      <w:r w:rsidRPr="000A6276">
        <w:rPr>
          <w:rFonts w:ascii="Times New Roman" w:hAnsi="Times New Roman"/>
          <w:sz w:val="26"/>
          <w:szCs w:val="26"/>
        </w:rPr>
        <w:t xml:space="preserve"> развития экспорта П</w:t>
      </w:r>
      <w:r>
        <w:rPr>
          <w:rFonts w:ascii="Times New Roman" w:hAnsi="Times New Roman"/>
          <w:sz w:val="26"/>
          <w:szCs w:val="26"/>
        </w:rPr>
        <w:t xml:space="preserve">риморского края» </w:t>
      </w:r>
      <w:r w:rsidRPr="000A6276">
        <w:rPr>
          <w:rFonts w:ascii="Times New Roman" w:hAnsi="Times New Roman"/>
          <w:sz w:val="26"/>
          <w:szCs w:val="26"/>
        </w:rPr>
        <w:t>для малого предпринимательства</w:t>
      </w:r>
      <w:r>
        <w:rPr>
          <w:rFonts w:ascii="Times New Roman" w:hAnsi="Times New Roman"/>
          <w:sz w:val="26"/>
          <w:szCs w:val="26"/>
        </w:rPr>
        <w:t>.</w:t>
      </w:r>
      <w:r w:rsidRPr="000A62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Мероприятие с</w:t>
      </w:r>
      <w:r w:rsidRPr="000A6276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собствовало</w:t>
      </w:r>
      <w:r w:rsidRPr="000A6276">
        <w:rPr>
          <w:rFonts w:ascii="Times New Roman" w:hAnsi="Times New Roman"/>
          <w:sz w:val="26"/>
          <w:szCs w:val="26"/>
        </w:rPr>
        <w:t xml:space="preserve"> повышению уровня конкурентоспособности малого предпринимательства</w:t>
      </w:r>
      <w:r>
        <w:t xml:space="preserve">. </w:t>
      </w:r>
    </w:p>
    <w:p w:rsidR="00D24B31" w:rsidRPr="008A1322" w:rsidRDefault="00D24B31" w:rsidP="00D24B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1322">
        <w:rPr>
          <w:rFonts w:ascii="Times New Roman" w:hAnsi="Times New Roman"/>
          <w:sz w:val="26"/>
          <w:szCs w:val="26"/>
        </w:rPr>
        <w:t>Решением Думы городского округа Спасск-Дальний от 30.05.2017 № 66-</w:t>
      </w:r>
      <w:r>
        <w:rPr>
          <w:rFonts w:ascii="Times New Roman" w:hAnsi="Times New Roman"/>
          <w:sz w:val="26"/>
          <w:szCs w:val="26"/>
        </w:rPr>
        <w:t>НПА</w:t>
      </w:r>
      <w:r w:rsidRPr="008A13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редакции решения Думы городского округа Спасск-Дальний от 08.11.2018 №73 НПА) </w:t>
      </w:r>
      <w:r w:rsidRPr="008A1322">
        <w:rPr>
          <w:rFonts w:ascii="Times New Roman" w:hAnsi="Times New Roman"/>
          <w:sz w:val="26"/>
          <w:szCs w:val="26"/>
        </w:rPr>
        <w:t>утвержден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Данный перечень, состоящий из 1</w:t>
      </w:r>
      <w:r>
        <w:rPr>
          <w:rFonts w:ascii="Times New Roman" w:hAnsi="Times New Roman"/>
          <w:sz w:val="26"/>
          <w:szCs w:val="26"/>
        </w:rPr>
        <w:t>4</w:t>
      </w:r>
      <w:r w:rsidRPr="008A1322">
        <w:rPr>
          <w:rFonts w:ascii="Times New Roman" w:hAnsi="Times New Roman"/>
          <w:sz w:val="26"/>
          <w:szCs w:val="26"/>
        </w:rPr>
        <w:t xml:space="preserve"> объектов,  размещен на официальном сайте Администрации городского округа  Спасск-Дальний.</w:t>
      </w:r>
    </w:p>
    <w:p w:rsidR="00D24B31" w:rsidRPr="00315584" w:rsidRDefault="00D24B31" w:rsidP="00D24B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584">
        <w:rPr>
          <w:rFonts w:ascii="Times New Roman" w:hAnsi="Times New Roman"/>
          <w:sz w:val="26"/>
          <w:szCs w:val="26"/>
        </w:rPr>
        <w:t>Расширение конкуренции при закупках продукции для муниципальных нужд городского округа  Спасск-Дальний осуществляется путем исполнения Федерального зако</w:t>
      </w:r>
      <w:r>
        <w:rPr>
          <w:rFonts w:ascii="Times New Roman" w:hAnsi="Times New Roman"/>
          <w:sz w:val="26"/>
          <w:szCs w:val="26"/>
        </w:rPr>
        <w:t>на № 44-ФЗ от 05.04.2013 года.</w:t>
      </w:r>
    </w:p>
    <w:p w:rsidR="00D24B31" w:rsidRPr="00084D84" w:rsidRDefault="00D24B31" w:rsidP="00D24B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D84">
        <w:rPr>
          <w:rFonts w:ascii="Times New Roman" w:hAnsi="Times New Roman"/>
          <w:sz w:val="26"/>
          <w:szCs w:val="26"/>
        </w:rPr>
        <w:t xml:space="preserve"> На основании ст. 30 Федерального закона от 05 апреля 2013 года № 44-ФЗ «О контрактной системе в сфере закупок товаров, работ услуг для обеспечения государственных и муниципальных нужд» доля стоимости проведенных закупок у субъектов малого предпринимательства (с учетом привлечения субподрядчиков (соискателей) из числа субъектов малого предпринимательства обязан быть не менее 15% совокупного годового объема закупок. </w:t>
      </w:r>
    </w:p>
    <w:p w:rsidR="00D24B31" w:rsidRDefault="00D24B31" w:rsidP="00D24B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4B7B">
        <w:rPr>
          <w:rFonts w:ascii="Times New Roman" w:hAnsi="Times New Roman"/>
          <w:sz w:val="26"/>
          <w:szCs w:val="26"/>
        </w:rPr>
        <w:t xml:space="preserve">В 2018 году в целях исполнения федерального законодательства муниципальные заказчики городского округа в обязательном порядке на постоянной основе размещали закупки для субъектов малого и среднего предпринимательства. </w:t>
      </w:r>
      <w:r w:rsidRPr="00054B7B">
        <w:rPr>
          <w:rFonts w:ascii="Times New Roman" w:hAnsi="Times New Roman"/>
          <w:sz w:val="26"/>
          <w:szCs w:val="26"/>
          <w:lang w:eastAsia="ru-RU"/>
        </w:rPr>
        <w:t>По итогам года заказчик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054B7B">
        <w:rPr>
          <w:rFonts w:ascii="Times New Roman" w:hAnsi="Times New Roman"/>
          <w:sz w:val="26"/>
          <w:szCs w:val="26"/>
          <w:lang w:eastAsia="ru-RU"/>
        </w:rPr>
        <w:t xml:space="preserve"> обязан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054B7B">
        <w:rPr>
          <w:rFonts w:ascii="Times New Roman" w:hAnsi="Times New Roman"/>
          <w:sz w:val="26"/>
          <w:szCs w:val="26"/>
          <w:lang w:eastAsia="ru-RU"/>
        </w:rPr>
        <w:t xml:space="preserve"> составить отчет об </w:t>
      </w:r>
      <w:r w:rsidRPr="00054B7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14" w:history="1">
        <w:r w:rsidRPr="00D24B31">
          <w:rPr>
            <w:rFonts w:ascii="Times New Roman" w:hAnsi="Times New Roman"/>
            <w:sz w:val="26"/>
            <w:szCs w:val="26"/>
            <w:lang w:eastAsia="ru-RU"/>
          </w:rPr>
          <w:t>частью 2</w:t>
        </w:r>
      </w:hyperlink>
      <w:r w:rsidRPr="00D24B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54B7B">
        <w:rPr>
          <w:rFonts w:ascii="Times New Roman" w:hAnsi="Times New Roman"/>
          <w:sz w:val="26"/>
          <w:szCs w:val="26"/>
          <w:lang w:eastAsia="ru-RU"/>
        </w:rPr>
        <w:t>настоящей статьи, и до 1 апреля года, следующего за отчетным годом, разместить такой отчет в единой информационной системе</w:t>
      </w:r>
      <w:r>
        <w:rPr>
          <w:rFonts w:ascii="Times New Roman" w:hAnsi="Times New Roman"/>
          <w:sz w:val="26"/>
          <w:szCs w:val="26"/>
          <w:lang w:eastAsia="ru-RU"/>
        </w:rPr>
        <w:t>. В установленные законом сроки отчеты заказчиков городского округа Спасск-Дальний будут размещены в ЕИС.</w:t>
      </w:r>
    </w:p>
    <w:p w:rsidR="00703BE3" w:rsidRPr="00703BE3" w:rsidRDefault="00084D84" w:rsidP="005B51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D84">
        <w:rPr>
          <w:rFonts w:ascii="Times New Roman" w:hAnsi="Times New Roman"/>
          <w:sz w:val="26"/>
          <w:szCs w:val="26"/>
        </w:rPr>
        <w:t xml:space="preserve">В целях устранения избыточного муниципального регулирования утверждена нормативная база оценки регулирующего воздействия. Создан раздел </w:t>
      </w:r>
      <w:r w:rsidR="00DF4FC9">
        <w:rPr>
          <w:rFonts w:ascii="Times New Roman" w:hAnsi="Times New Roman"/>
          <w:sz w:val="26"/>
          <w:szCs w:val="26"/>
        </w:rPr>
        <w:t xml:space="preserve">на </w:t>
      </w:r>
      <w:r w:rsidRPr="00084D84">
        <w:rPr>
          <w:rFonts w:ascii="Times New Roman" w:hAnsi="Times New Roman"/>
          <w:sz w:val="26"/>
          <w:szCs w:val="26"/>
        </w:rPr>
        <w:t>сайт</w:t>
      </w:r>
      <w:r w:rsidR="00DF4FC9">
        <w:rPr>
          <w:rFonts w:ascii="Times New Roman" w:hAnsi="Times New Roman"/>
          <w:sz w:val="26"/>
          <w:szCs w:val="26"/>
        </w:rPr>
        <w:t>е</w:t>
      </w:r>
      <w:r w:rsidRPr="00084D84">
        <w:rPr>
          <w:rFonts w:ascii="Times New Roman" w:hAnsi="Times New Roman"/>
          <w:sz w:val="26"/>
          <w:szCs w:val="26"/>
        </w:rPr>
        <w:t xml:space="preserve"> городского округа,  где размещены материалы с оценкой регулирующего воздействия. </w:t>
      </w:r>
      <w:r w:rsidR="00703BE3" w:rsidRPr="00703BE3">
        <w:rPr>
          <w:rFonts w:ascii="Times New Roman" w:hAnsi="Times New Roman"/>
          <w:sz w:val="26"/>
          <w:szCs w:val="26"/>
        </w:rPr>
        <w:t>В 2018</w:t>
      </w:r>
      <w:r w:rsidR="00D24B31">
        <w:rPr>
          <w:rFonts w:ascii="Times New Roman" w:hAnsi="Times New Roman"/>
          <w:sz w:val="26"/>
          <w:szCs w:val="26"/>
        </w:rPr>
        <w:t xml:space="preserve"> </w:t>
      </w:r>
      <w:r w:rsidR="00703BE3" w:rsidRPr="00703BE3">
        <w:rPr>
          <w:rFonts w:ascii="Times New Roman" w:hAnsi="Times New Roman"/>
          <w:sz w:val="26"/>
          <w:szCs w:val="26"/>
        </w:rPr>
        <w:t>году осуществлялось  проведение процедур оценки регулирующего воздействия проектов муниципальных нормативных правовых актов Администрации городского округа Спасск-Дальний в части утверждения административного регламента выдачи градостроительных планов, размещения нестационарных торговых объектов, проведения аукционов на право включения в схему размещения нестационарных торговых объектов.</w:t>
      </w:r>
      <w:r w:rsidR="00703BE3" w:rsidRPr="00703BE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03BE3" w:rsidRPr="00703BE3">
        <w:rPr>
          <w:rFonts w:ascii="Times New Roman" w:hAnsi="Times New Roman"/>
          <w:sz w:val="26"/>
          <w:szCs w:val="26"/>
        </w:rPr>
        <w:t>Проводится работа по    привлечению предпринимателей и общественных организаций к участию в доработке проектов нормативных правовых актов.</w:t>
      </w:r>
    </w:p>
    <w:p w:rsidR="005B515D" w:rsidRPr="0091643B" w:rsidRDefault="005B515D" w:rsidP="005B51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>В рамках проведения мониторинга задолженности в отношении сделок с муниципальным имуществом 2018  году проведена следующая работа:</w:t>
      </w:r>
    </w:p>
    <w:p w:rsidR="005B515D" w:rsidRPr="0091643B" w:rsidRDefault="005B515D" w:rsidP="005B51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 xml:space="preserve">  </w:t>
      </w:r>
      <w:r w:rsidRPr="0091643B">
        <w:rPr>
          <w:rFonts w:ascii="Times New Roman" w:hAnsi="Times New Roman"/>
          <w:sz w:val="26"/>
          <w:szCs w:val="26"/>
        </w:rPr>
        <w:tab/>
        <w:t>Подготовлено 295 материалов в суд на сумму 2554,8 тыс.</w:t>
      </w:r>
      <w:r w:rsidR="00703BE3">
        <w:rPr>
          <w:rFonts w:ascii="Times New Roman" w:hAnsi="Times New Roman"/>
          <w:sz w:val="26"/>
          <w:szCs w:val="26"/>
        </w:rPr>
        <w:t xml:space="preserve"> </w:t>
      </w:r>
      <w:r w:rsidRPr="0091643B">
        <w:rPr>
          <w:rFonts w:ascii="Times New Roman" w:hAnsi="Times New Roman"/>
          <w:sz w:val="26"/>
          <w:szCs w:val="26"/>
        </w:rPr>
        <w:t>руб.</w:t>
      </w:r>
    </w:p>
    <w:p w:rsidR="005B515D" w:rsidRPr="0091643B" w:rsidRDefault="005B515D" w:rsidP="005B51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 xml:space="preserve">Вынесены решения суда в отношении 275 нанимателей муниципального жилищного фонда на сумму </w:t>
      </w:r>
      <w:r w:rsidRPr="0091643B">
        <w:rPr>
          <w:rFonts w:ascii="Times New Roman" w:hAnsi="Times New Roman"/>
          <w:sz w:val="24"/>
          <w:szCs w:val="24"/>
        </w:rPr>
        <w:t xml:space="preserve">1521,2 </w:t>
      </w:r>
      <w:r w:rsidRPr="0091643B">
        <w:rPr>
          <w:rFonts w:ascii="Times New Roman" w:hAnsi="Times New Roman"/>
          <w:sz w:val="26"/>
          <w:szCs w:val="26"/>
        </w:rPr>
        <w:t xml:space="preserve">тыс. рублей. Возмещено 875,4 тыс. рублей. Возвращено в связи с невозможностью взыскания задолженности и повторно направлено 300 судебных решений на сумму </w:t>
      </w:r>
      <w:r w:rsidRPr="0091643B">
        <w:rPr>
          <w:rFonts w:ascii="Times New Roman" w:hAnsi="Times New Roman"/>
          <w:sz w:val="24"/>
          <w:szCs w:val="24"/>
        </w:rPr>
        <w:t xml:space="preserve">1846,6 </w:t>
      </w:r>
      <w:r w:rsidRPr="0091643B">
        <w:rPr>
          <w:rFonts w:ascii="Times New Roman" w:hAnsi="Times New Roman"/>
          <w:sz w:val="26"/>
          <w:szCs w:val="26"/>
        </w:rPr>
        <w:t>тыс. рублей.</w:t>
      </w:r>
    </w:p>
    <w:p w:rsidR="005B515D" w:rsidRPr="0091643B" w:rsidRDefault="005B515D" w:rsidP="005B51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>Из сложившейся задолженности 1 838,94 тыс. руб. по арендной плате за земельные участки  по состоянию на 01.01.2019 г. в судебном производстве находятся дела (в том числе за предыдущие периоды) на сумму 1 180,02 тыс. руб</w:t>
      </w:r>
      <w:r w:rsidR="00DE60A1">
        <w:rPr>
          <w:rFonts w:ascii="Times New Roman" w:hAnsi="Times New Roman"/>
          <w:sz w:val="26"/>
          <w:szCs w:val="26"/>
        </w:rPr>
        <w:t>.</w:t>
      </w:r>
    </w:p>
    <w:p w:rsidR="005B515D" w:rsidRPr="0091643B" w:rsidRDefault="005B515D" w:rsidP="005B51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>Направлены 20 претензий о неуплате арендной платы на сумму 1 599,65 тыс. руб. из них оплачено 892,52 тыс. руб.</w:t>
      </w:r>
    </w:p>
    <w:p w:rsidR="005B515D" w:rsidRPr="0091643B" w:rsidRDefault="005B515D" w:rsidP="005B51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>Подготовлено 295 предупреждения о несвоевременном внесении арендной платы на сумму 1 450,19 тыс. руб. из них оплачено 687,6 тыс. руб.</w:t>
      </w:r>
    </w:p>
    <w:p w:rsidR="005B515D" w:rsidRPr="0091643B" w:rsidRDefault="005B515D" w:rsidP="005B51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>Вызвано 130 должников на МВК по налоговой и социальной политике с суммой долга 3 140,46 тыс. руб. из них оплачено 1 724,31 тыс. руб.</w:t>
      </w:r>
    </w:p>
    <w:p w:rsidR="005B515D" w:rsidRPr="0091643B" w:rsidRDefault="005B515D" w:rsidP="005B51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lastRenderedPageBreak/>
        <w:t>Оформлены и направлены для оформления в суд дела в отношении 11 арендаторов, имеющих задолженность по арендной плате за объекты недвижимости на сумму 626,71 тыс.</w:t>
      </w:r>
      <w:r w:rsidR="00703BE3">
        <w:rPr>
          <w:rFonts w:ascii="Times New Roman" w:hAnsi="Times New Roman"/>
          <w:sz w:val="26"/>
          <w:szCs w:val="26"/>
        </w:rPr>
        <w:t xml:space="preserve"> </w:t>
      </w:r>
      <w:r w:rsidRPr="0091643B">
        <w:rPr>
          <w:rFonts w:ascii="Times New Roman" w:hAnsi="Times New Roman"/>
          <w:sz w:val="26"/>
          <w:szCs w:val="26"/>
        </w:rPr>
        <w:t xml:space="preserve">руб. из них оплачено 368,79. </w:t>
      </w:r>
    </w:p>
    <w:p w:rsidR="005B515D" w:rsidRPr="0091643B" w:rsidRDefault="005B515D" w:rsidP="005B51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>Преобразование муниципальных унитарных предприятий городского округа Спасск-Дальний в другие организационно-правовые формы и формы собственности в 2018 году не проводилось.</w:t>
      </w:r>
    </w:p>
    <w:p w:rsidR="005B515D" w:rsidRPr="0091643B" w:rsidRDefault="005B515D" w:rsidP="005B51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>Муниципальное имущество, свободное от прав третьих лиц, а также переданное в пользование муниципальным учреждениям и предприятиям  городского округа ведется в программном комплексе «БАРС».</w:t>
      </w:r>
    </w:p>
    <w:p w:rsidR="005B515D" w:rsidRPr="0091643B" w:rsidRDefault="005B515D" w:rsidP="005B51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>В 2018 году включено в реестр муниципального имущества 1018 объекта, исключено 218 объектов.</w:t>
      </w:r>
    </w:p>
    <w:p w:rsidR="005B515D" w:rsidRPr="0091643B" w:rsidRDefault="005B515D" w:rsidP="005B51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43B">
        <w:rPr>
          <w:rFonts w:ascii="Times New Roman" w:hAnsi="Times New Roman"/>
          <w:sz w:val="26"/>
          <w:szCs w:val="26"/>
        </w:rPr>
        <w:t xml:space="preserve">С целью вовлечения в хозяйственный оборот муниципального имущества осуществлена государственная регистрация права муниципальной собственности в отношении 20 объектов недвижимости. </w:t>
      </w:r>
    </w:p>
    <w:p w:rsidR="005B515D" w:rsidRDefault="005B515D" w:rsidP="005B515D">
      <w:pPr>
        <w:spacing w:after="0" w:line="360" w:lineRule="auto"/>
        <w:ind w:firstLine="708"/>
        <w:jc w:val="both"/>
      </w:pPr>
      <w:r w:rsidRPr="0091643B">
        <w:rPr>
          <w:rFonts w:ascii="Times New Roman" w:hAnsi="Times New Roman"/>
          <w:sz w:val="26"/>
          <w:szCs w:val="26"/>
        </w:rPr>
        <w:t>В муниципальную собственность в 2018 году зарегистрировано 16 земельных участков общей площадью 36,86  га</w:t>
      </w:r>
      <w:r w:rsidRPr="0091643B">
        <w:t>.</w:t>
      </w:r>
      <w:r w:rsidRPr="00A577DF">
        <w:t xml:space="preserve"> </w:t>
      </w:r>
    </w:p>
    <w:p w:rsidR="00315584" w:rsidRPr="00315584" w:rsidRDefault="00315584" w:rsidP="000A62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584">
        <w:rPr>
          <w:rFonts w:ascii="Times New Roman" w:hAnsi="Times New Roman"/>
          <w:sz w:val="26"/>
          <w:szCs w:val="26"/>
        </w:rPr>
        <w:t>На территории городского округа Спасск-Дальний находится два муниципальных унитарных предприятия: МУП “Центральная районная аптека              № 29», МУП «Городской рынок» г. Спасска-Дальнего.</w:t>
      </w:r>
    </w:p>
    <w:p w:rsidR="00735A02" w:rsidRDefault="00315584" w:rsidP="000A62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584">
        <w:rPr>
          <w:rFonts w:ascii="Times New Roman" w:hAnsi="Times New Roman"/>
          <w:sz w:val="26"/>
          <w:szCs w:val="26"/>
        </w:rPr>
        <w:t>Преобразование муниципальных унитарных предприятий городского округа Спасск-Дальний в другие организационно-правовые формы и формы собственности в 201</w:t>
      </w:r>
      <w:r w:rsidR="005B515D">
        <w:rPr>
          <w:rFonts w:ascii="Times New Roman" w:hAnsi="Times New Roman"/>
          <w:sz w:val="26"/>
          <w:szCs w:val="26"/>
        </w:rPr>
        <w:t>8</w:t>
      </w:r>
      <w:r w:rsidRPr="00315584">
        <w:rPr>
          <w:rFonts w:ascii="Times New Roman" w:hAnsi="Times New Roman"/>
          <w:sz w:val="26"/>
          <w:szCs w:val="26"/>
        </w:rPr>
        <w:t xml:space="preserve"> году не проводилось.</w:t>
      </w:r>
    </w:p>
    <w:p w:rsidR="00315584" w:rsidRPr="00315584" w:rsidRDefault="00315584" w:rsidP="000A6276">
      <w:pPr>
        <w:tabs>
          <w:tab w:val="left" w:pos="432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584">
        <w:rPr>
          <w:rFonts w:ascii="Times New Roman" w:hAnsi="Times New Roman"/>
          <w:sz w:val="26"/>
          <w:szCs w:val="26"/>
        </w:rPr>
        <w:t>В целях обеспечения эффективного управления муниципальным сектором экономики городского округа Спасск-Дальний в Администрации городского округа создана комиссия по рассмотрению показателей экономической эффективности  деятельности муниципальных унитарных предприятий, утвержден Реестр показателей экономической эффективности деятельности муниципальных унитарных предприятий.</w:t>
      </w:r>
    </w:p>
    <w:p w:rsidR="00315584" w:rsidRPr="00315584" w:rsidRDefault="00315584" w:rsidP="000A6276">
      <w:pPr>
        <w:tabs>
          <w:tab w:val="left" w:pos="432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584">
        <w:rPr>
          <w:rFonts w:ascii="Times New Roman" w:hAnsi="Times New Roman"/>
          <w:sz w:val="26"/>
          <w:szCs w:val="26"/>
        </w:rPr>
        <w:t xml:space="preserve">Комиссия осуществляет: </w:t>
      </w:r>
    </w:p>
    <w:p w:rsidR="00315584" w:rsidRPr="00315584" w:rsidRDefault="00315584" w:rsidP="000A627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15584">
        <w:rPr>
          <w:rFonts w:ascii="Times New Roman" w:hAnsi="Times New Roman"/>
          <w:sz w:val="26"/>
          <w:szCs w:val="26"/>
        </w:rPr>
        <w:t>- анализ величин показателей экономической эффективности деятельности муниципальных унитарных предприятий;</w:t>
      </w:r>
    </w:p>
    <w:p w:rsidR="00315584" w:rsidRPr="00315584" w:rsidRDefault="00315584" w:rsidP="000A627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15584">
        <w:rPr>
          <w:rFonts w:ascii="Times New Roman" w:hAnsi="Times New Roman"/>
          <w:sz w:val="26"/>
          <w:szCs w:val="26"/>
        </w:rPr>
        <w:lastRenderedPageBreak/>
        <w:t>- оценку достижения унитарными предприятиями утвержденных величин показателей экономической эффективности;</w:t>
      </w:r>
    </w:p>
    <w:p w:rsidR="00315584" w:rsidRPr="00315584" w:rsidRDefault="00315584" w:rsidP="000A627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5584">
        <w:rPr>
          <w:rFonts w:ascii="Times New Roman" w:hAnsi="Times New Roman" w:cs="Times New Roman"/>
          <w:sz w:val="26"/>
          <w:szCs w:val="26"/>
        </w:rPr>
        <w:t>- оценку эффективности управления унитарными предприятиями, определение мер, направленных на повышение эффективности управления ими;</w:t>
      </w:r>
    </w:p>
    <w:p w:rsidR="00315584" w:rsidRPr="00315584" w:rsidRDefault="00315584" w:rsidP="000A627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5584">
        <w:rPr>
          <w:rFonts w:ascii="Times New Roman" w:hAnsi="Times New Roman" w:cs="Times New Roman"/>
          <w:sz w:val="26"/>
          <w:szCs w:val="26"/>
        </w:rPr>
        <w:t>- выявление унитарных предприятий, не достигших утвержденных величин показателей экономической эффективности деятельности, анализ</w:t>
      </w:r>
      <w:r w:rsidRPr="00315584">
        <w:rPr>
          <w:rFonts w:ascii="Times New Roman" w:hAnsi="Times New Roman" w:cs="Times New Roman"/>
          <w:color w:val="76923C"/>
          <w:sz w:val="26"/>
          <w:szCs w:val="26"/>
        </w:rPr>
        <w:t xml:space="preserve"> </w:t>
      </w:r>
      <w:r w:rsidRPr="00315584">
        <w:rPr>
          <w:rFonts w:ascii="Times New Roman" w:hAnsi="Times New Roman" w:cs="Times New Roman"/>
          <w:sz w:val="26"/>
          <w:szCs w:val="26"/>
        </w:rPr>
        <w:t>причин не выполнения унитарными предприятиями установленных величин.</w:t>
      </w:r>
    </w:p>
    <w:p w:rsidR="00315584" w:rsidRDefault="00315584" w:rsidP="00A92D3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584">
        <w:rPr>
          <w:rFonts w:ascii="Times New Roman" w:hAnsi="Times New Roman"/>
          <w:sz w:val="26"/>
          <w:szCs w:val="26"/>
        </w:rPr>
        <w:t>В 201</w:t>
      </w:r>
      <w:r w:rsidR="00DE60A1">
        <w:rPr>
          <w:rFonts w:ascii="Times New Roman" w:hAnsi="Times New Roman"/>
          <w:sz w:val="26"/>
          <w:szCs w:val="26"/>
        </w:rPr>
        <w:t>8</w:t>
      </w:r>
      <w:r w:rsidRPr="00315584">
        <w:rPr>
          <w:rFonts w:ascii="Times New Roman" w:hAnsi="Times New Roman"/>
          <w:sz w:val="26"/>
          <w:szCs w:val="26"/>
        </w:rPr>
        <w:t xml:space="preserve"> году проведено 4 заседания комиссии по рассмотрению показателей экономической эффективности  деятельности муниципальных унитарных предприятий.</w:t>
      </w:r>
      <w:r w:rsidR="009F5F8A">
        <w:rPr>
          <w:rFonts w:ascii="Times New Roman" w:hAnsi="Times New Roman"/>
          <w:sz w:val="26"/>
          <w:szCs w:val="26"/>
        </w:rPr>
        <w:t xml:space="preserve"> Оба предприятия по результатам </w:t>
      </w:r>
      <w:r w:rsidR="00EF6E8D">
        <w:rPr>
          <w:rFonts w:ascii="Times New Roman" w:hAnsi="Times New Roman"/>
          <w:sz w:val="26"/>
          <w:szCs w:val="26"/>
        </w:rPr>
        <w:t>2018 года показали положительные финансовые результаты.</w:t>
      </w:r>
    </w:p>
    <w:p w:rsidR="00A41E5E" w:rsidRDefault="00A41E5E" w:rsidP="00045ED0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41E5E">
        <w:rPr>
          <w:rFonts w:ascii="Times New Roman" w:hAnsi="Times New Roman"/>
          <w:b/>
          <w:sz w:val="26"/>
          <w:szCs w:val="26"/>
        </w:rPr>
        <w:t>Рынок розничной торговли</w:t>
      </w:r>
    </w:p>
    <w:p w:rsidR="00A41E5E" w:rsidRPr="000A6276" w:rsidRDefault="00A41E5E" w:rsidP="000A627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276">
        <w:rPr>
          <w:rFonts w:ascii="Times New Roman" w:hAnsi="Times New Roman"/>
          <w:sz w:val="26"/>
          <w:szCs w:val="26"/>
        </w:rPr>
        <w:t>Развитие конкуренции в сфере торговли осуществляется за счет организации торговых предприятий всех возможных форматов: стационарных торговых – от магазинов шаговой доступности до супермакетов, дискаунтеров, магазинов-складов; нестационарных объектов от лоточной торговли до павильонов. По состоянию на 1 января 201</w:t>
      </w:r>
      <w:r w:rsidR="002006E8">
        <w:rPr>
          <w:rFonts w:ascii="Times New Roman" w:hAnsi="Times New Roman"/>
          <w:sz w:val="26"/>
          <w:szCs w:val="26"/>
        </w:rPr>
        <w:t>9</w:t>
      </w:r>
      <w:r w:rsidRPr="000A6276">
        <w:rPr>
          <w:rFonts w:ascii="Times New Roman" w:hAnsi="Times New Roman"/>
          <w:sz w:val="26"/>
          <w:szCs w:val="26"/>
        </w:rPr>
        <w:t xml:space="preserve"> года в сфере розничной торговли на территории городского округа</w:t>
      </w:r>
      <w:r w:rsidR="002006E8">
        <w:rPr>
          <w:rFonts w:ascii="Times New Roman" w:hAnsi="Times New Roman"/>
          <w:sz w:val="26"/>
          <w:szCs w:val="26"/>
        </w:rPr>
        <w:t xml:space="preserve"> Спасск-Дальний осуществляют</w:t>
      </w:r>
      <w:r w:rsidR="00241BD4">
        <w:rPr>
          <w:rFonts w:ascii="Times New Roman" w:hAnsi="Times New Roman"/>
          <w:sz w:val="26"/>
          <w:szCs w:val="26"/>
        </w:rPr>
        <w:t xml:space="preserve"> деятельность</w:t>
      </w:r>
      <w:r w:rsidR="002006E8">
        <w:rPr>
          <w:rFonts w:ascii="Times New Roman" w:hAnsi="Times New Roman"/>
          <w:sz w:val="26"/>
          <w:szCs w:val="26"/>
        </w:rPr>
        <w:t xml:space="preserve"> 419</w:t>
      </w:r>
      <w:r w:rsidRPr="000A6276">
        <w:rPr>
          <w:rFonts w:ascii="Times New Roman" w:hAnsi="Times New Roman"/>
          <w:sz w:val="26"/>
          <w:szCs w:val="26"/>
        </w:rPr>
        <w:t xml:space="preserve"> хозяйствующих субъекта, имеющих в своем составе </w:t>
      </w:r>
      <w:r w:rsidR="00241BD4">
        <w:rPr>
          <w:rFonts w:ascii="Times New Roman" w:hAnsi="Times New Roman"/>
          <w:sz w:val="26"/>
          <w:szCs w:val="26"/>
        </w:rPr>
        <w:t>491</w:t>
      </w:r>
      <w:r w:rsidRPr="000A6276">
        <w:rPr>
          <w:rFonts w:ascii="Times New Roman" w:hAnsi="Times New Roman"/>
          <w:sz w:val="26"/>
          <w:szCs w:val="26"/>
        </w:rPr>
        <w:t xml:space="preserve"> </w:t>
      </w:r>
      <w:r w:rsidR="004673E5">
        <w:rPr>
          <w:rFonts w:ascii="Times New Roman" w:hAnsi="Times New Roman"/>
          <w:sz w:val="26"/>
          <w:szCs w:val="26"/>
        </w:rPr>
        <w:t xml:space="preserve">стационарных и нестационарных торговых </w:t>
      </w:r>
      <w:r w:rsidRPr="000A6276">
        <w:rPr>
          <w:rFonts w:ascii="Times New Roman" w:hAnsi="Times New Roman"/>
          <w:sz w:val="26"/>
          <w:szCs w:val="26"/>
        </w:rPr>
        <w:t>объекта. Фактическая обеспеченность жителей городского площадью торговых объектов округа по состоянию на 1 января 201</w:t>
      </w:r>
      <w:r w:rsidR="002006E8">
        <w:rPr>
          <w:rFonts w:ascii="Times New Roman" w:hAnsi="Times New Roman"/>
          <w:sz w:val="26"/>
          <w:szCs w:val="26"/>
        </w:rPr>
        <w:t>9</w:t>
      </w:r>
      <w:r w:rsidRPr="000A6276">
        <w:rPr>
          <w:rFonts w:ascii="Times New Roman" w:hAnsi="Times New Roman"/>
          <w:sz w:val="26"/>
          <w:szCs w:val="26"/>
        </w:rPr>
        <w:t xml:space="preserve"> года на 1000 жителей </w:t>
      </w:r>
      <w:r w:rsidR="002006E8">
        <w:rPr>
          <w:rFonts w:ascii="Times New Roman" w:hAnsi="Times New Roman"/>
          <w:sz w:val="26"/>
          <w:szCs w:val="26"/>
        </w:rPr>
        <w:t xml:space="preserve">992 </w:t>
      </w:r>
      <w:r w:rsidRPr="000A6276">
        <w:rPr>
          <w:rFonts w:ascii="Times New Roman" w:hAnsi="Times New Roman"/>
          <w:sz w:val="26"/>
          <w:szCs w:val="26"/>
        </w:rPr>
        <w:t>кв. м., что превышает норматив (426 кв.м.) более чем в два раза.</w:t>
      </w:r>
    </w:p>
    <w:p w:rsidR="00A41E5E" w:rsidRPr="000A6276" w:rsidRDefault="00A41E5E" w:rsidP="00D85B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276">
        <w:rPr>
          <w:rFonts w:ascii="Times New Roman" w:hAnsi="Times New Roman"/>
          <w:sz w:val="26"/>
          <w:szCs w:val="26"/>
        </w:rPr>
        <w:t xml:space="preserve">Ярмарки – важная составляющая часть розничной торговли. Как показала практика, именно на ярмарках обеспечивается реальная конкуренция производителей и продавцов, занятость населения в части предоставления рабочих мест сельхоз и товаропроизводителям, фермерам и гражданам, ведущим личные подсобные хозяйства и занимающиеся садоводством и огородничеством, исключаются лишние посреднические звенья, способствующие росту конечной розничной цены, реализуются свежие пищевые продукты местного производства высокого качества по ценам, доступным большинству населению. </w:t>
      </w:r>
    </w:p>
    <w:p w:rsidR="00A41E5E" w:rsidRPr="000A6276" w:rsidRDefault="00A41E5E" w:rsidP="00D85B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276">
        <w:rPr>
          <w:rFonts w:ascii="Times New Roman" w:hAnsi="Times New Roman"/>
          <w:sz w:val="26"/>
          <w:szCs w:val="26"/>
        </w:rPr>
        <w:lastRenderedPageBreak/>
        <w:t xml:space="preserve">Постановлением Администрации городского округа Спасск-Дальний от </w:t>
      </w:r>
      <w:r w:rsidR="008E7AA7">
        <w:rPr>
          <w:rFonts w:ascii="Times New Roman" w:hAnsi="Times New Roman"/>
          <w:sz w:val="26"/>
          <w:szCs w:val="26"/>
        </w:rPr>
        <w:t>07 декабря 2018</w:t>
      </w:r>
      <w:r w:rsidRPr="000A6276">
        <w:rPr>
          <w:rFonts w:ascii="Times New Roman" w:hAnsi="Times New Roman"/>
          <w:sz w:val="26"/>
          <w:szCs w:val="26"/>
        </w:rPr>
        <w:t xml:space="preserve"> года № </w:t>
      </w:r>
      <w:r w:rsidR="008E7AA7">
        <w:rPr>
          <w:rFonts w:ascii="Times New Roman" w:hAnsi="Times New Roman"/>
          <w:sz w:val="26"/>
          <w:szCs w:val="26"/>
        </w:rPr>
        <w:t>433</w:t>
      </w:r>
      <w:r w:rsidRPr="000A6276">
        <w:rPr>
          <w:rFonts w:ascii="Times New Roman" w:hAnsi="Times New Roman"/>
          <w:sz w:val="26"/>
          <w:szCs w:val="26"/>
        </w:rPr>
        <w:t>-па утверждена схема размещения нестационарных торговых объектов. По мере необходимости в схему вн</w:t>
      </w:r>
      <w:r w:rsidR="008E7AA7">
        <w:rPr>
          <w:rFonts w:ascii="Times New Roman" w:hAnsi="Times New Roman"/>
          <w:sz w:val="26"/>
          <w:szCs w:val="26"/>
        </w:rPr>
        <w:t>осятся изменения и дополнения. На 01 января 2019</w:t>
      </w:r>
      <w:r w:rsidRPr="000A6276">
        <w:rPr>
          <w:rFonts w:ascii="Times New Roman" w:hAnsi="Times New Roman"/>
          <w:sz w:val="26"/>
          <w:szCs w:val="26"/>
        </w:rPr>
        <w:t xml:space="preserve"> года в схеме размещения  НТО находится </w:t>
      </w:r>
      <w:r w:rsidR="008E7AA7">
        <w:rPr>
          <w:rFonts w:ascii="Times New Roman" w:hAnsi="Times New Roman"/>
          <w:sz w:val="26"/>
          <w:szCs w:val="26"/>
        </w:rPr>
        <w:t xml:space="preserve">57 торговых </w:t>
      </w:r>
      <w:r w:rsidRPr="000A6276">
        <w:rPr>
          <w:rFonts w:ascii="Times New Roman" w:hAnsi="Times New Roman"/>
          <w:sz w:val="26"/>
          <w:szCs w:val="26"/>
        </w:rPr>
        <w:t>объекта.</w:t>
      </w:r>
    </w:p>
    <w:p w:rsidR="00A41E5E" w:rsidRDefault="00A41E5E" w:rsidP="00D85B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276">
        <w:rPr>
          <w:rFonts w:ascii="Times New Roman" w:hAnsi="Times New Roman"/>
          <w:sz w:val="26"/>
          <w:szCs w:val="26"/>
        </w:rPr>
        <w:t>В 201</w:t>
      </w:r>
      <w:r w:rsidR="002006E8">
        <w:rPr>
          <w:rFonts w:ascii="Times New Roman" w:hAnsi="Times New Roman"/>
          <w:sz w:val="26"/>
          <w:szCs w:val="26"/>
        </w:rPr>
        <w:t>8</w:t>
      </w:r>
      <w:r w:rsidRPr="000A6276">
        <w:rPr>
          <w:rFonts w:ascii="Times New Roman" w:hAnsi="Times New Roman"/>
          <w:sz w:val="26"/>
          <w:szCs w:val="26"/>
        </w:rPr>
        <w:t xml:space="preserve"> год на постоянной основе действовало 5 ежедневных сельскохо</w:t>
      </w:r>
      <w:r w:rsidR="008F4E4F">
        <w:rPr>
          <w:rFonts w:ascii="Times New Roman" w:hAnsi="Times New Roman"/>
          <w:sz w:val="26"/>
          <w:szCs w:val="26"/>
        </w:rPr>
        <w:t>зяйственных ярмарки, 2 цветочные</w:t>
      </w:r>
      <w:r w:rsidRPr="000A6276">
        <w:rPr>
          <w:rFonts w:ascii="Times New Roman" w:hAnsi="Times New Roman"/>
          <w:sz w:val="26"/>
          <w:szCs w:val="26"/>
        </w:rPr>
        <w:t xml:space="preserve">. Организовано </w:t>
      </w:r>
      <w:r w:rsidR="008F4E4F">
        <w:rPr>
          <w:rFonts w:ascii="Times New Roman" w:hAnsi="Times New Roman"/>
          <w:sz w:val="26"/>
          <w:szCs w:val="26"/>
        </w:rPr>
        <w:t>10</w:t>
      </w:r>
      <w:r w:rsidRPr="000A6276">
        <w:rPr>
          <w:rFonts w:ascii="Times New Roman" w:hAnsi="Times New Roman"/>
          <w:sz w:val="26"/>
          <w:szCs w:val="26"/>
        </w:rPr>
        <w:t xml:space="preserve"> ярмарок, приуроченных к праздничным городским мероприятиям.</w:t>
      </w:r>
    </w:p>
    <w:p w:rsidR="00D85B7C" w:rsidRDefault="00D85B7C" w:rsidP="00D85B7C">
      <w:pPr>
        <w:spacing w:after="0" w:line="360" w:lineRule="auto"/>
        <w:ind w:right="-2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85B7C">
        <w:rPr>
          <w:rFonts w:ascii="Times New Roman" w:hAnsi="Times New Roman"/>
          <w:b/>
          <w:bCs/>
          <w:sz w:val="26"/>
          <w:szCs w:val="26"/>
        </w:rPr>
        <w:t>Рынок услуг культуры</w:t>
      </w:r>
    </w:p>
    <w:p w:rsidR="001C70B7" w:rsidRPr="00D339E1" w:rsidRDefault="001C70B7" w:rsidP="001C70B7">
      <w:p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339E1">
        <w:rPr>
          <w:rFonts w:ascii="Times New Roman" w:hAnsi="Times New Roman"/>
          <w:sz w:val="26"/>
          <w:szCs w:val="26"/>
        </w:rPr>
        <w:t xml:space="preserve">На территории городского округа Спасск-Дальний </w:t>
      </w:r>
      <w:r>
        <w:rPr>
          <w:rFonts w:ascii="Times New Roman" w:hAnsi="Times New Roman"/>
          <w:sz w:val="26"/>
          <w:szCs w:val="26"/>
        </w:rPr>
        <w:t>функционируют</w:t>
      </w:r>
      <w:r w:rsidRPr="00D339E1">
        <w:rPr>
          <w:rFonts w:ascii="Times New Roman" w:hAnsi="Times New Roman"/>
          <w:sz w:val="26"/>
          <w:szCs w:val="26"/>
        </w:rPr>
        <w:t xml:space="preserve"> 4 учреждения культуры и искусства. По состоян</w:t>
      </w:r>
      <w:r>
        <w:rPr>
          <w:rFonts w:ascii="Times New Roman" w:hAnsi="Times New Roman"/>
          <w:sz w:val="26"/>
          <w:szCs w:val="26"/>
        </w:rPr>
        <w:t>ию н</w:t>
      </w:r>
      <w:r w:rsidR="00DF256C">
        <w:rPr>
          <w:rFonts w:ascii="Times New Roman" w:hAnsi="Times New Roman"/>
          <w:sz w:val="26"/>
          <w:szCs w:val="26"/>
        </w:rPr>
        <w:t>а отчетный период 01.01.2019 г.</w:t>
      </w:r>
    </w:p>
    <w:p w:rsidR="001C70B7" w:rsidRDefault="001C70B7" w:rsidP="001C70B7">
      <w:pPr>
        <w:spacing w:after="0" w:line="360" w:lineRule="auto"/>
        <w:ind w:left="-284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D339E1">
        <w:rPr>
          <w:rFonts w:ascii="Times New Roman" w:hAnsi="Times New Roman"/>
          <w:sz w:val="26"/>
          <w:szCs w:val="26"/>
        </w:rPr>
        <w:t xml:space="preserve">- 1 </w:t>
      </w:r>
      <w:r w:rsidRPr="00D339E1">
        <w:rPr>
          <w:rFonts w:ascii="Times New Roman" w:hAnsi="Times New Roman"/>
          <w:bCs/>
          <w:iCs/>
          <w:sz w:val="26"/>
          <w:szCs w:val="26"/>
        </w:rPr>
        <w:t xml:space="preserve">муниципальное автономное учреждение Городской центр народной культуры «Приморье». </w:t>
      </w:r>
    </w:p>
    <w:p w:rsidR="001C70B7" w:rsidRPr="00D339E1" w:rsidRDefault="001C70B7" w:rsidP="001C70B7">
      <w:pPr>
        <w:spacing w:after="0" w:line="36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 w:rsidRPr="00D339E1">
        <w:rPr>
          <w:rFonts w:ascii="Times New Roman" w:hAnsi="Times New Roman"/>
          <w:sz w:val="26"/>
          <w:szCs w:val="26"/>
        </w:rPr>
        <w:t xml:space="preserve">- 1 библиотека – муниципальное бюджетное учреждение «Центральная городская библиотека городского округа Спасск-Дальний» (в том числе 4 отделения) </w:t>
      </w:r>
    </w:p>
    <w:p w:rsidR="001C70B7" w:rsidRPr="00D339E1" w:rsidRDefault="001C70B7" w:rsidP="001C70B7">
      <w:pPr>
        <w:spacing w:after="0" w:line="36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 w:rsidRPr="00D339E1">
        <w:rPr>
          <w:rFonts w:ascii="Times New Roman" w:hAnsi="Times New Roman"/>
          <w:sz w:val="26"/>
          <w:szCs w:val="26"/>
        </w:rPr>
        <w:t>- 1 музей – муниципальное бюджетное учреждение «Краеведческий музей имени Н.И. Береговой городского округа Спасск-Дальний»;</w:t>
      </w:r>
    </w:p>
    <w:p w:rsidR="001C70B7" w:rsidRPr="00D339E1" w:rsidRDefault="001C70B7" w:rsidP="001C70B7">
      <w:pPr>
        <w:spacing w:after="0" w:line="36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 w:rsidRPr="00D339E1">
        <w:rPr>
          <w:rFonts w:ascii="Times New Roman" w:hAnsi="Times New Roman"/>
          <w:sz w:val="26"/>
          <w:szCs w:val="26"/>
        </w:rPr>
        <w:t>- 1 учреждение дополнительного образования – муниципальное бюджетное учреждение дополнительного образования «Детская школа искусств городского округа Спасск-Дальний».</w:t>
      </w:r>
    </w:p>
    <w:p w:rsidR="001C70B7" w:rsidRPr="003D7CC4" w:rsidRDefault="001C70B7" w:rsidP="001C70B7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7CC4">
        <w:rPr>
          <w:rFonts w:ascii="Times New Roman" w:hAnsi="Times New Roman"/>
          <w:sz w:val="26"/>
          <w:szCs w:val="26"/>
        </w:rPr>
        <w:t>Динамика исполнения кассовых расходов муниципальной программы «Развитие культуры городского округа Спасск-Дальний» с 2013 по 201</w:t>
      </w:r>
      <w:r w:rsidR="00850663">
        <w:rPr>
          <w:rFonts w:ascii="Times New Roman" w:hAnsi="Times New Roman"/>
          <w:sz w:val="26"/>
          <w:szCs w:val="26"/>
        </w:rPr>
        <w:t>8</w:t>
      </w:r>
      <w:r w:rsidRPr="003D7CC4">
        <w:rPr>
          <w:rFonts w:ascii="Times New Roman" w:hAnsi="Times New Roman"/>
          <w:sz w:val="26"/>
          <w:szCs w:val="26"/>
        </w:rPr>
        <w:t xml:space="preserve"> годы (тыс. руб.).</w:t>
      </w: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646"/>
        <w:gridCol w:w="1646"/>
        <w:gridCol w:w="1646"/>
        <w:gridCol w:w="1382"/>
      </w:tblGrid>
      <w:tr w:rsidR="001C70B7" w:rsidRPr="002E6CB1" w:rsidTr="00B6096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1C70B7" w:rsidRPr="002E6CB1" w:rsidTr="00B6096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 xml:space="preserve">35283,8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 xml:space="preserve">44465,7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 xml:space="preserve">39635,9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 xml:space="preserve">44225,3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7" w:rsidRPr="002E6CB1" w:rsidRDefault="001C70B7" w:rsidP="00B60964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CB1">
              <w:rPr>
                <w:rFonts w:ascii="Times New Roman" w:hAnsi="Times New Roman"/>
                <w:sz w:val="26"/>
                <w:szCs w:val="26"/>
              </w:rPr>
              <w:t>44780,1</w:t>
            </w:r>
          </w:p>
        </w:tc>
      </w:tr>
    </w:tbl>
    <w:p w:rsidR="001C70B7" w:rsidRDefault="001C70B7" w:rsidP="001C70B7">
      <w:pPr>
        <w:spacing w:after="0" w:line="360" w:lineRule="auto"/>
        <w:ind w:left="-284"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1C70B7" w:rsidRPr="008B566E" w:rsidRDefault="001C70B7" w:rsidP="001C70B7">
      <w:pPr>
        <w:spacing w:after="0" w:line="360" w:lineRule="auto"/>
        <w:ind w:left="-284" w:firstLine="708"/>
        <w:jc w:val="both"/>
        <w:rPr>
          <w:rFonts w:ascii="Times New Roman" w:hAnsi="Times New Roman"/>
          <w:bCs/>
          <w:sz w:val="26"/>
          <w:szCs w:val="26"/>
        </w:rPr>
      </w:pPr>
      <w:r w:rsidRPr="008B566E">
        <w:rPr>
          <w:rFonts w:ascii="Times New Roman" w:hAnsi="Times New Roman"/>
          <w:bCs/>
          <w:sz w:val="26"/>
          <w:szCs w:val="26"/>
        </w:rPr>
        <w:t>Существуют проблемные вопросы в области культуры.</w:t>
      </w:r>
    </w:p>
    <w:p w:rsidR="001C70B7" w:rsidRPr="008B566E" w:rsidRDefault="001C70B7" w:rsidP="001C70B7">
      <w:pPr>
        <w:spacing w:after="0" w:line="360" w:lineRule="auto"/>
        <w:ind w:left="-284" w:firstLine="708"/>
        <w:jc w:val="both"/>
        <w:rPr>
          <w:rFonts w:ascii="Times New Roman" w:hAnsi="Times New Roman"/>
          <w:bCs/>
          <w:sz w:val="26"/>
          <w:szCs w:val="26"/>
        </w:rPr>
      </w:pPr>
      <w:r w:rsidRPr="008B566E">
        <w:rPr>
          <w:rFonts w:ascii="Times New Roman" w:hAnsi="Times New Roman"/>
          <w:bCs/>
          <w:sz w:val="26"/>
          <w:szCs w:val="26"/>
        </w:rPr>
        <w:t xml:space="preserve">Ввиду дефицита </w:t>
      </w:r>
      <w:r>
        <w:rPr>
          <w:rFonts w:ascii="Times New Roman" w:hAnsi="Times New Roman"/>
          <w:bCs/>
          <w:sz w:val="26"/>
          <w:szCs w:val="26"/>
        </w:rPr>
        <w:t xml:space="preserve">средств </w:t>
      </w:r>
      <w:r w:rsidRPr="008B566E">
        <w:rPr>
          <w:rFonts w:ascii="Times New Roman" w:hAnsi="Times New Roman"/>
          <w:bCs/>
          <w:sz w:val="26"/>
          <w:szCs w:val="26"/>
        </w:rPr>
        <w:t xml:space="preserve">бюджета </w:t>
      </w:r>
      <w:r>
        <w:rPr>
          <w:rFonts w:ascii="Times New Roman" w:hAnsi="Times New Roman"/>
          <w:bCs/>
          <w:sz w:val="26"/>
          <w:szCs w:val="26"/>
        </w:rPr>
        <w:t xml:space="preserve">городского округа Спасск-Дальний </w:t>
      </w:r>
      <w:r w:rsidRPr="008B566E">
        <w:rPr>
          <w:rFonts w:ascii="Times New Roman" w:hAnsi="Times New Roman"/>
          <w:bCs/>
          <w:sz w:val="26"/>
          <w:szCs w:val="26"/>
        </w:rPr>
        <w:t xml:space="preserve">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8B566E">
        <w:rPr>
          <w:rFonts w:ascii="Times New Roman" w:hAnsi="Times New Roman"/>
          <w:bCs/>
          <w:sz w:val="26"/>
          <w:szCs w:val="26"/>
        </w:rPr>
        <w:t xml:space="preserve"> программе «Развитие культуры </w:t>
      </w:r>
      <w:r>
        <w:rPr>
          <w:rFonts w:ascii="Times New Roman" w:hAnsi="Times New Roman"/>
          <w:bCs/>
          <w:sz w:val="26"/>
          <w:szCs w:val="26"/>
        </w:rPr>
        <w:t xml:space="preserve">городского округа Спасск-Дальний </w:t>
      </w:r>
      <w:r w:rsidRPr="008B566E">
        <w:rPr>
          <w:rFonts w:ascii="Times New Roman" w:hAnsi="Times New Roman"/>
          <w:bCs/>
          <w:sz w:val="26"/>
          <w:szCs w:val="26"/>
        </w:rPr>
        <w:t>на 201</w:t>
      </w:r>
      <w:r>
        <w:rPr>
          <w:rFonts w:ascii="Times New Roman" w:hAnsi="Times New Roman"/>
          <w:bCs/>
          <w:sz w:val="26"/>
          <w:szCs w:val="26"/>
        </w:rPr>
        <w:t>8 - 2021</w:t>
      </w:r>
      <w:r w:rsidRPr="008B566E">
        <w:rPr>
          <w:rFonts w:ascii="Times New Roman" w:hAnsi="Times New Roman"/>
          <w:bCs/>
          <w:sz w:val="26"/>
          <w:szCs w:val="26"/>
        </w:rPr>
        <w:t xml:space="preserve"> годы», утвержденной постановлением Администрации </w:t>
      </w:r>
      <w:r>
        <w:rPr>
          <w:rFonts w:ascii="Times New Roman" w:hAnsi="Times New Roman"/>
          <w:bCs/>
          <w:sz w:val="26"/>
          <w:szCs w:val="26"/>
        </w:rPr>
        <w:t>от 27.12. 2017  № 611</w:t>
      </w:r>
      <w:r w:rsidRPr="008B566E">
        <w:rPr>
          <w:rFonts w:ascii="Times New Roman" w:hAnsi="Times New Roman"/>
          <w:bCs/>
          <w:sz w:val="26"/>
          <w:szCs w:val="26"/>
        </w:rPr>
        <w:t xml:space="preserve">-па, отсутствует финансирование проектов некоммерческих организаций в области культуры (гранты представителям творческих профессий, предоставление </w:t>
      </w:r>
      <w:r w:rsidRPr="008B566E">
        <w:rPr>
          <w:rFonts w:ascii="Times New Roman" w:hAnsi="Times New Roman"/>
          <w:bCs/>
          <w:sz w:val="26"/>
          <w:szCs w:val="26"/>
        </w:rPr>
        <w:lastRenderedPageBreak/>
        <w:t>средств творческим союзам и профессиональным сообществам на организацию мероприятий в области музыкального, художеств</w:t>
      </w:r>
      <w:r w:rsidR="00DF256C">
        <w:rPr>
          <w:rFonts w:ascii="Times New Roman" w:hAnsi="Times New Roman"/>
          <w:bCs/>
          <w:sz w:val="26"/>
          <w:szCs w:val="26"/>
        </w:rPr>
        <w:t>енного, театрального искусства).</w:t>
      </w:r>
    </w:p>
    <w:p w:rsidR="001C70B7" w:rsidRDefault="001C70B7" w:rsidP="001C70B7">
      <w:pPr>
        <w:spacing w:after="0" w:line="36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 w:rsidRPr="00D339E1">
        <w:rPr>
          <w:rFonts w:ascii="Times New Roman" w:hAnsi="Times New Roman"/>
          <w:sz w:val="26"/>
          <w:szCs w:val="26"/>
        </w:rPr>
        <w:t>В течени</w:t>
      </w:r>
      <w:r>
        <w:rPr>
          <w:rFonts w:ascii="Times New Roman" w:hAnsi="Times New Roman"/>
          <w:sz w:val="26"/>
          <w:szCs w:val="26"/>
        </w:rPr>
        <w:t>е 2018</w:t>
      </w:r>
      <w:r w:rsidRPr="00D339E1">
        <w:rPr>
          <w:rFonts w:ascii="Times New Roman" w:hAnsi="Times New Roman"/>
          <w:sz w:val="26"/>
          <w:szCs w:val="26"/>
        </w:rPr>
        <w:t xml:space="preserve"> года отдел культуры Администрации городского округа Спасск-Дальний оказывал организационную поддержку негосударственным организациям всех форм собственности при участии в общегородских культурно-массовых мероприяти</w:t>
      </w:r>
      <w:r>
        <w:rPr>
          <w:rFonts w:ascii="Times New Roman" w:hAnsi="Times New Roman"/>
          <w:sz w:val="26"/>
          <w:szCs w:val="26"/>
        </w:rPr>
        <w:t>ях (День города, празднование 73</w:t>
      </w:r>
      <w:r w:rsidRPr="00D339E1">
        <w:rPr>
          <w:rFonts w:ascii="Times New Roman" w:hAnsi="Times New Roman"/>
          <w:sz w:val="26"/>
          <w:szCs w:val="26"/>
        </w:rPr>
        <w:t xml:space="preserve">-й годовщины </w:t>
      </w:r>
      <w:r w:rsidR="00210351">
        <w:rPr>
          <w:rFonts w:ascii="Times New Roman" w:hAnsi="Times New Roman"/>
          <w:sz w:val="26"/>
          <w:szCs w:val="26"/>
        </w:rPr>
        <w:t>П</w:t>
      </w:r>
      <w:r w:rsidRPr="00D339E1">
        <w:rPr>
          <w:rFonts w:ascii="Times New Roman" w:hAnsi="Times New Roman"/>
          <w:sz w:val="26"/>
          <w:szCs w:val="26"/>
        </w:rPr>
        <w:t>обеды, открытый городской фестиваль «Клубн</w:t>
      </w:r>
      <w:r w:rsidR="00210351">
        <w:rPr>
          <w:rFonts w:ascii="Times New Roman" w:hAnsi="Times New Roman"/>
          <w:sz w:val="26"/>
          <w:szCs w:val="26"/>
        </w:rPr>
        <w:t xml:space="preserve">ичная столица Приморья» и т.д.), </w:t>
      </w:r>
      <w:r w:rsidRPr="00D339E1">
        <w:rPr>
          <w:rFonts w:ascii="Times New Roman" w:hAnsi="Times New Roman"/>
          <w:sz w:val="26"/>
          <w:szCs w:val="26"/>
        </w:rPr>
        <w:t>что повысило уровень и качество проведения данных мероприятий.</w:t>
      </w:r>
    </w:p>
    <w:p w:rsidR="001C70B7" w:rsidRDefault="001C70B7" w:rsidP="001C70B7">
      <w:pPr>
        <w:spacing w:after="0" w:line="36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 w:rsidRPr="00D339E1">
        <w:rPr>
          <w:rFonts w:ascii="Times New Roman" w:hAnsi="Times New Roman"/>
          <w:sz w:val="26"/>
          <w:szCs w:val="26"/>
        </w:rPr>
        <w:t xml:space="preserve">Сформирована база данных о негосударственных организациях, </w:t>
      </w:r>
      <w:r>
        <w:rPr>
          <w:rFonts w:ascii="Times New Roman" w:hAnsi="Times New Roman"/>
          <w:sz w:val="26"/>
          <w:szCs w:val="26"/>
        </w:rPr>
        <w:t>участвующих в оказании услуг</w:t>
      </w:r>
      <w:r w:rsidRPr="00D339E1">
        <w:rPr>
          <w:rFonts w:ascii="Times New Roman" w:hAnsi="Times New Roman"/>
          <w:sz w:val="26"/>
          <w:szCs w:val="26"/>
        </w:rPr>
        <w:t xml:space="preserve"> в сфере культуры</w:t>
      </w:r>
      <w:r>
        <w:rPr>
          <w:rFonts w:ascii="Times New Roman" w:hAnsi="Times New Roman"/>
          <w:sz w:val="26"/>
          <w:szCs w:val="26"/>
        </w:rPr>
        <w:t>, из них 1 общество с ограниченной ответственностью и 10 индивидуальных предпринимателей</w:t>
      </w:r>
      <w:r w:rsidR="00C21BA6">
        <w:rPr>
          <w:rFonts w:ascii="Times New Roman" w:hAnsi="Times New Roman"/>
          <w:sz w:val="26"/>
          <w:szCs w:val="26"/>
        </w:rPr>
        <w:t>.</w:t>
      </w:r>
    </w:p>
    <w:p w:rsidR="001C70B7" w:rsidRPr="00D339E1" w:rsidRDefault="001C70B7" w:rsidP="001C70B7">
      <w:pPr>
        <w:spacing w:after="0" w:line="36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Повысилась </w:t>
      </w:r>
      <w:r w:rsidRPr="00D339E1">
        <w:rPr>
          <w:rFonts w:ascii="Times New Roman" w:hAnsi="Times New Roman"/>
          <w:sz w:val="26"/>
          <w:szCs w:val="26"/>
        </w:rPr>
        <w:t>информированность населения  об оказываемых услугах в сфере культуры путем размещения информации в социальных сетях и официальном сайте городского округа Спасск-Дальний</w:t>
      </w:r>
      <w:r>
        <w:rPr>
          <w:rFonts w:ascii="Times New Roman" w:hAnsi="Times New Roman"/>
          <w:sz w:val="26"/>
          <w:szCs w:val="26"/>
        </w:rPr>
        <w:t>.</w:t>
      </w:r>
    </w:p>
    <w:p w:rsidR="001C70B7" w:rsidRDefault="001C70B7" w:rsidP="001C70B7">
      <w:pPr>
        <w:spacing w:after="0" w:line="36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339E1">
        <w:rPr>
          <w:rFonts w:ascii="Times New Roman" w:hAnsi="Times New Roman"/>
          <w:sz w:val="26"/>
          <w:szCs w:val="26"/>
        </w:rPr>
        <w:t>Создана база данных о мастерах народных и художественных промыслов (частных лиц, индивидуальных предпринимателей)</w:t>
      </w:r>
      <w:r>
        <w:rPr>
          <w:rFonts w:ascii="Times New Roman" w:hAnsi="Times New Roman"/>
          <w:sz w:val="26"/>
          <w:szCs w:val="26"/>
        </w:rPr>
        <w:t xml:space="preserve">. Всего в городском округе Спасск-Дальний 12 мастеров </w:t>
      </w:r>
      <w:r w:rsidRPr="00A41988">
        <w:rPr>
          <w:rFonts w:ascii="Times New Roman" w:hAnsi="Times New Roman"/>
          <w:sz w:val="26"/>
          <w:szCs w:val="26"/>
        </w:rPr>
        <w:t>творчества (всех видов декоративно-прикладного включая промыслы и рукоделие)</w:t>
      </w:r>
      <w:r>
        <w:rPr>
          <w:rFonts w:ascii="Times New Roman" w:hAnsi="Times New Roman"/>
          <w:sz w:val="26"/>
          <w:szCs w:val="26"/>
        </w:rPr>
        <w:t>.</w:t>
      </w:r>
    </w:p>
    <w:p w:rsidR="00214968" w:rsidRDefault="00214968" w:rsidP="00FE21C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</w:rPr>
      </w:pPr>
      <w:r w:rsidRPr="00E1385B">
        <w:rPr>
          <w:rFonts w:ascii="Times New Roman" w:hAnsi="Times New Roman"/>
          <w:b/>
          <w:sz w:val="26"/>
        </w:rPr>
        <w:t>Рынок жилищно-коммунального хозяйства</w:t>
      </w:r>
    </w:p>
    <w:p w:rsidR="00E1385B" w:rsidRDefault="00E1385B" w:rsidP="00E1385B">
      <w:pPr>
        <w:spacing w:after="0" w:line="360" w:lineRule="auto"/>
        <w:ind w:left="-142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Жилищно-коммунальные услуги на территории городского округа  Спасск-Дальний   осуществляют  следующие  предприятия: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Управление многоквартирными домами: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</w:rPr>
        <w:t xml:space="preserve"> ООО «Спассктеплоэнерго-АТП»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ООО «Горсвет»  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ООО УК «Артель-1»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ООО УК «СпасскЖилСервис» 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ООО УК «Эталон»</w:t>
      </w:r>
    </w:p>
    <w:p w:rsidR="00500F19" w:rsidRDefault="00500F19" w:rsidP="00E1385B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ООО УК «Эталон +»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Ресурсоснабжающие организации:</w:t>
      </w:r>
    </w:p>
    <w:p w:rsidR="00E1385B" w:rsidRDefault="00E1385B" w:rsidP="00E1385B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ООО «Спасскэнергия»- услуги по отоплению жилищного фонда.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lastRenderedPageBreak/>
        <w:t xml:space="preserve">            КГУП «Примтеплоэнерго» Спасский филиал - услуги по отоплению и горячему водоснабжению жилищного фонда, холодному водоснабжению, водоотведению.</w:t>
      </w:r>
    </w:p>
    <w:p w:rsidR="00E1385B" w:rsidRDefault="00E1385B" w:rsidP="00E1385B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Рус Гидро ПАО «ДЭК» Дальэнергосбыт – услуги по электроснабжению</w:t>
      </w:r>
      <w:r w:rsidR="001C1ABD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:rsidR="00E1385B" w:rsidRDefault="00E1385B" w:rsidP="00E1385B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состоянию на 01.01.2019 г.  года  действует  8  ТСЖ. </w:t>
      </w:r>
    </w:p>
    <w:p w:rsidR="00E1385B" w:rsidRDefault="00E1385B" w:rsidP="00E1385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декабре 2018 года был проведен открытый  конкурс на МКД  без управления. По итогам конкурса выбрана новая управляющая компания МБУ «Наш город», которая нач</w:t>
      </w:r>
      <w:r w:rsidR="00500F19">
        <w:rPr>
          <w:rFonts w:ascii="Times New Roman" w:hAnsi="Times New Roman"/>
          <w:sz w:val="26"/>
          <w:szCs w:val="26"/>
        </w:rPr>
        <w:t>ала</w:t>
      </w:r>
      <w:r>
        <w:rPr>
          <w:rFonts w:ascii="Times New Roman" w:hAnsi="Times New Roman"/>
          <w:sz w:val="26"/>
          <w:szCs w:val="26"/>
        </w:rPr>
        <w:t xml:space="preserve"> свою деятельность с января 2019 года. </w:t>
      </w:r>
    </w:p>
    <w:p w:rsidR="00E1385B" w:rsidRDefault="00E1385B" w:rsidP="00E1385B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2018 год в рамках муниципального жилищного контроля было проведено 55 внеплановых проверок в отношении деятельности управляющих компаний, ТСЖ  ресурсоснабжающих компаний, в том числе 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2408"/>
        <w:gridCol w:w="2408"/>
      </w:tblGrid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</w:t>
            </w:r>
          </w:p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 xml:space="preserve">в 2017 году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</w:t>
            </w:r>
          </w:p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BE1B2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E1385B" w:rsidRPr="00214968" w:rsidTr="00CD475A">
        <w:trPr>
          <w:trHeight w:val="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ООО УК «Артель-1»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ООО УК «Эталон»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ООО УК «СпасскЖилСервис»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ТСЖ «М-н им. Блюхера»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ООО УК «Спассктеплоэнерго-АТП»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ООО УК «Горсвет»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ТСЖ «Дружба»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КГУП «Примтеплоэнерго»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ООО «Спасскэнергия»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1385B" w:rsidRPr="00214968" w:rsidTr="00CD475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B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B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5B" w:rsidRPr="00BE1B2E" w:rsidRDefault="00E1385B" w:rsidP="00C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</w:t>
            </w:r>
          </w:p>
        </w:tc>
      </w:tr>
    </w:tbl>
    <w:p w:rsidR="001C1ABD" w:rsidRPr="001C1ABD" w:rsidRDefault="001C1ABD" w:rsidP="00E1385B">
      <w:pPr>
        <w:pStyle w:val="30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385B" w:rsidRPr="001C1ABD" w:rsidRDefault="00E1385B" w:rsidP="00E1385B">
      <w:pPr>
        <w:pStyle w:val="30"/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1ABD">
        <w:rPr>
          <w:rFonts w:ascii="Times New Roman" w:eastAsia="Calibri" w:hAnsi="Times New Roman" w:cs="Times New Roman"/>
          <w:sz w:val="26"/>
          <w:szCs w:val="26"/>
        </w:rPr>
        <w:t>По результатам проведенных проверок в 2018 году муниципальным инспектором составлено 5 протоколов на должностные лица, допустивших нарушения  законодательства в сфере ЖКХ, на юридические лица – 20 протоков, составлен 1 протокол на физическое лицо за неисполнение предписаний.</w:t>
      </w:r>
    </w:p>
    <w:p w:rsidR="00E1385B" w:rsidRDefault="00E1385B" w:rsidP="00E138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Наблюдается рост конкуренции между организациями, осуществляющими управление многоквартирными домами, за привлечение собственников помещений к выбору частных управляющих организаций для управления многоквартирными домами.</w:t>
      </w:r>
    </w:p>
    <w:p w:rsidR="00E1385B" w:rsidRDefault="00E1385B" w:rsidP="00E138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силу технологических ограничений сложившейся системы сетей энерго- и водоснабжения, водоотведения данные секторы рынка услуг жилищно-коммунального хозяйства имеют низкую возможность развития конкуренции. </w:t>
      </w:r>
    </w:p>
    <w:p w:rsidR="00E1385B" w:rsidRDefault="00E1385B" w:rsidP="00E138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 сферам деятельности, в которых возможно развитие конкуренции на рынке жилищно-коммунальных услуг края, относятся: управление и обслуживание жилищного фонда; выполнение отдельных работ по обслуживанию объектов коммунального хозяйства.</w:t>
      </w:r>
    </w:p>
    <w:p w:rsidR="002C40CB" w:rsidRDefault="002C40CB" w:rsidP="002C40CB">
      <w:pPr>
        <w:spacing w:line="360" w:lineRule="auto"/>
        <w:ind w:right="-2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C40CB">
        <w:rPr>
          <w:rFonts w:ascii="Times New Roman" w:hAnsi="Times New Roman"/>
          <w:b/>
          <w:bCs/>
          <w:sz w:val="26"/>
          <w:szCs w:val="26"/>
        </w:rPr>
        <w:t>Рынок дошкольного образования</w:t>
      </w:r>
    </w:p>
    <w:p w:rsidR="00CB5F4F" w:rsidRPr="002C40CB" w:rsidRDefault="00CB5F4F" w:rsidP="00CB5F4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>По состоянию на 01.01.201</w:t>
      </w:r>
      <w:r>
        <w:rPr>
          <w:rFonts w:ascii="Times New Roman" w:hAnsi="Times New Roman"/>
          <w:bCs/>
          <w:sz w:val="26"/>
          <w:szCs w:val="26"/>
        </w:rPr>
        <w:t xml:space="preserve">9 </w:t>
      </w:r>
      <w:r w:rsidRPr="002C40CB">
        <w:rPr>
          <w:rFonts w:ascii="Times New Roman" w:hAnsi="Times New Roman"/>
          <w:bCs/>
          <w:sz w:val="26"/>
          <w:szCs w:val="26"/>
        </w:rPr>
        <w:t>на территории городского округа Спасск-Дальний действует 14  дошкольных образовательных организаций (далее - ДОО), реализующих  образовательную программу дошкольного образования, общее число мест в ДОО 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>2333,   посещает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 xml:space="preserve">-  </w:t>
      </w:r>
      <w:r>
        <w:rPr>
          <w:rFonts w:ascii="Times New Roman" w:hAnsi="Times New Roman"/>
          <w:bCs/>
          <w:sz w:val="26"/>
          <w:szCs w:val="26"/>
        </w:rPr>
        <w:t>2669</w:t>
      </w:r>
      <w:r w:rsidRPr="002C40CB">
        <w:rPr>
          <w:rFonts w:ascii="Times New Roman" w:hAnsi="Times New Roman"/>
          <w:bCs/>
          <w:sz w:val="26"/>
          <w:szCs w:val="26"/>
        </w:rPr>
        <w:t xml:space="preserve"> воспитанника.</w:t>
      </w:r>
    </w:p>
    <w:p w:rsidR="00CB5F4F" w:rsidRPr="002C40CB" w:rsidRDefault="00CB5F4F" w:rsidP="00CB5F4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 xml:space="preserve">Численность детей, родителям которых предоставляются льготы по оплате за присмотр и уход за детьми в ДОО – </w:t>
      </w:r>
      <w:r>
        <w:rPr>
          <w:rFonts w:ascii="Times New Roman" w:hAnsi="Times New Roman"/>
          <w:bCs/>
          <w:sz w:val="26"/>
          <w:szCs w:val="26"/>
        </w:rPr>
        <w:t>184 чел, из них в размере 100% - 39 чел., 50% - 136 чел., 30% - 9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 20% - </w:t>
      </w:r>
      <w:r>
        <w:rPr>
          <w:rFonts w:ascii="Times New Roman" w:hAnsi="Times New Roman"/>
          <w:bCs/>
          <w:sz w:val="26"/>
          <w:szCs w:val="26"/>
        </w:rPr>
        <w:t>0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 </w:t>
      </w:r>
    </w:p>
    <w:p w:rsidR="00CB5F4F" w:rsidRPr="002C40CB" w:rsidRDefault="00CB5F4F" w:rsidP="00CB5F4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 xml:space="preserve">Численность детей, родителям которых предоставляется компенсация части родительской платы  за присмотр и уход за детьми в ДОО составила </w:t>
      </w:r>
      <w:r>
        <w:rPr>
          <w:rFonts w:ascii="Times New Roman" w:hAnsi="Times New Roman"/>
          <w:bCs/>
          <w:sz w:val="26"/>
          <w:szCs w:val="26"/>
        </w:rPr>
        <w:t>2235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</w:t>
      </w:r>
    </w:p>
    <w:p w:rsidR="00CB5F4F" w:rsidRPr="002C40CB" w:rsidRDefault="00CB5F4F" w:rsidP="00CB5F4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>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2C40CB">
        <w:rPr>
          <w:rFonts w:ascii="Times New Roman" w:hAnsi="Times New Roman"/>
          <w:bCs/>
          <w:sz w:val="26"/>
          <w:szCs w:val="26"/>
        </w:rPr>
        <w:t xml:space="preserve"> году число детей, состоящих на учёте для определения в ДОО -</w:t>
      </w:r>
      <w:r>
        <w:rPr>
          <w:rFonts w:ascii="Times New Roman" w:hAnsi="Times New Roman"/>
          <w:bCs/>
          <w:sz w:val="26"/>
          <w:szCs w:val="26"/>
        </w:rPr>
        <w:t xml:space="preserve"> 454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из них от 0 до 1 года – </w:t>
      </w:r>
      <w:r>
        <w:rPr>
          <w:rFonts w:ascii="Times New Roman" w:hAnsi="Times New Roman"/>
          <w:bCs/>
          <w:sz w:val="26"/>
          <w:szCs w:val="26"/>
        </w:rPr>
        <w:t>199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с 1 года до 2 лет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239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с 2  до 3 лет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16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с 3 до 7 лет – 0.</w:t>
      </w:r>
    </w:p>
    <w:p w:rsidR="00CB5F4F" w:rsidRPr="002C40CB" w:rsidRDefault="00CB5F4F" w:rsidP="00CB5F4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>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2C40CB">
        <w:rPr>
          <w:rFonts w:ascii="Times New Roman" w:hAnsi="Times New Roman"/>
          <w:bCs/>
          <w:sz w:val="26"/>
          <w:szCs w:val="26"/>
        </w:rPr>
        <w:t xml:space="preserve"> году получили направление в ДОО-  </w:t>
      </w:r>
      <w:r>
        <w:rPr>
          <w:rFonts w:ascii="Times New Roman" w:hAnsi="Times New Roman"/>
          <w:bCs/>
          <w:sz w:val="26"/>
          <w:szCs w:val="26"/>
        </w:rPr>
        <w:t>693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в возрасте от 1 года до 2 лет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>- 1</w:t>
      </w:r>
      <w:r>
        <w:rPr>
          <w:rFonts w:ascii="Times New Roman" w:hAnsi="Times New Roman"/>
          <w:bCs/>
          <w:sz w:val="26"/>
          <w:szCs w:val="26"/>
        </w:rPr>
        <w:t>79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с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>2 до 3 лет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296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с 3 до 4 лет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86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с 4 до 5 лет – </w:t>
      </w:r>
      <w:r>
        <w:rPr>
          <w:rFonts w:ascii="Times New Roman" w:hAnsi="Times New Roman"/>
          <w:bCs/>
          <w:sz w:val="26"/>
          <w:szCs w:val="26"/>
        </w:rPr>
        <w:t>52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с</w:t>
      </w:r>
      <w:r>
        <w:rPr>
          <w:rFonts w:ascii="Times New Roman" w:hAnsi="Times New Roman"/>
          <w:bCs/>
          <w:sz w:val="26"/>
          <w:szCs w:val="26"/>
        </w:rPr>
        <w:t xml:space="preserve">  5 до 6 лет 41 чел., с 6 до 7 лет -  34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чел., с 7 до 8 лет – </w:t>
      </w:r>
      <w:r>
        <w:rPr>
          <w:rFonts w:ascii="Times New Roman" w:hAnsi="Times New Roman"/>
          <w:bCs/>
          <w:sz w:val="26"/>
          <w:szCs w:val="26"/>
        </w:rPr>
        <w:t>8</w:t>
      </w:r>
      <w:r w:rsidRPr="002C40CB">
        <w:rPr>
          <w:rFonts w:ascii="Times New Roman" w:hAnsi="Times New Roman"/>
          <w:bCs/>
          <w:sz w:val="26"/>
          <w:szCs w:val="26"/>
        </w:rPr>
        <w:t xml:space="preserve"> чел.</w:t>
      </w:r>
    </w:p>
    <w:p w:rsidR="00CB5F4F" w:rsidRPr="002C40CB" w:rsidRDefault="00CB5F4F" w:rsidP="00CB5F4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 xml:space="preserve">Созданы вариативные формы образования: действует группа в режиме кратковременного пребывания (3 часа) по присмотру и уходу за детьми в утреннее и вечернее  время,  её посещает </w:t>
      </w:r>
      <w:r>
        <w:rPr>
          <w:rFonts w:ascii="Times New Roman" w:hAnsi="Times New Roman"/>
          <w:bCs/>
          <w:sz w:val="26"/>
          <w:szCs w:val="26"/>
        </w:rPr>
        <w:t>22</w:t>
      </w:r>
      <w:r w:rsidRPr="002C40C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ребенка</w:t>
      </w:r>
      <w:r w:rsidRPr="002C40CB">
        <w:rPr>
          <w:rFonts w:ascii="Times New Roman" w:hAnsi="Times New Roman"/>
          <w:bCs/>
          <w:sz w:val="26"/>
          <w:szCs w:val="26"/>
        </w:rPr>
        <w:t xml:space="preserve"> (родительская плата 70 руб. в час), группа предшкольной подготовки, посещает 15 детей (родительская плата от 80 до 120 руб. в  час). Родительская плата за присмотр и уход  за детьми в ДОО составляет 1700 руб. (установлена с 01 августа 2015 года).</w:t>
      </w:r>
    </w:p>
    <w:p w:rsidR="00CB5F4F" w:rsidRPr="002C40CB" w:rsidRDefault="00CB5F4F" w:rsidP="00CB5F4F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 xml:space="preserve">Все ДОО городского округа Спасск-Дальний осуществляют дошкольное образование в соответствии с </w:t>
      </w:r>
      <w:r>
        <w:rPr>
          <w:rFonts w:ascii="Times New Roman" w:hAnsi="Times New Roman"/>
          <w:bCs/>
          <w:sz w:val="26"/>
          <w:szCs w:val="26"/>
        </w:rPr>
        <w:t>ФГОС ДО, работает 190 педагогов. Все 2669 воспитанников</w:t>
      </w:r>
      <w:r w:rsidRPr="002C40CB">
        <w:rPr>
          <w:rFonts w:ascii="Times New Roman" w:hAnsi="Times New Roman"/>
          <w:bCs/>
          <w:sz w:val="26"/>
          <w:szCs w:val="26"/>
        </w:rPr>
        <w:t xml:space="preserve"> обучаются по образовательным программам дошкольного образования, с</w:t>
      </w:r>
      <w:r>
        <w:rPr>
          <w:rFonts w:ascii="Times New Roman" w:hAnsi="Times New Roman"/>
          <w:bCs/>
          <w:sz w:val="26"/>
          <w:szCs w:val="26"/>
        </w:rPr>
        <w:t>оответствующим требованиям ФГОС</w:t>
      </w:r>
      <w:r w:rsidRPr="002C40CB">
        <w:rPr>
          <w:rFonts w:ascii="Times New Roman" w:hAnsi="Times New Roman"/>
          <w:bCs/>
          <w:sz w:val="26"/>
          <w:szCs w:val="26"/>
        </w:rPr>
        <w:t>.</w:t>
      </w:r>
    </w:p>
    <w:p w:rsidR="00CB5F4F" w:rsidRPr="002C40CB" w:rsidRDefault="00CB5F4F" w:rsidP="00CB5F4F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lastRenderedPageBreak/>
        <w:t>ДОО посещают 1</w:t>
      </w:r>
      <w:r>
        <w:rPr>
          <w:rFonts w:ascii="Times New Roman" w:hAnsi="Times New Roman"/>
          <w:bCs/>
          <w:sz w:val="26"/>
          <w:szCs w:val="26"/>
        </w:rPr>
        <w:t>8</w:t>
      </w:r>
      <w:r w:rsidRPr="002C40CB">
        <w:rPr>
          <w:rFonts w:ascii="Times New Roman" w:hAnsi="Times New Roman"/>
          <w:bCs/>
          <w:sz w:val="26"/>
          <w:szCs w:val="26"/>
        </w:rPr>
        <w:t xml:space="preserve"> детей – инвалидов, создана безбарьерная  среда для инклюзивного образования  детей-инвалидов и детей с ограниченными возможностями  здоровья (ОВЗ) в </w:t>
      </w:r>
      <w:r>
        <w:rPr>
          <w:rFonts w:ascii="Times New Roman" w:hAnsi="Times New Roman"/>
          <w:bCs/>
          <w:sz w:val="26"/>
          <w:szCs w:val="26"/>
        </w:rPr>
        <w:t>трех</w:t>
      </w:r>
      <w:r w:rsidRPr="002C40CB">
        <w:rPr>
          <w:rFonts w:ascii="Times New Roman" w:hAnsi="Times New Roman"/>
          <w:bCs/>
          <w:sz w:val="26"/>
          <w:szCs w:val="26"/>
        </w:rPr>
        <w:t xml:space="preserve"> ДОО.</w:t>
      </w:r>
    </w:p>
    <w:p w:rsidR="00CB5F4F" w:rsidRPr="002C40CB" w:rsidRDefault="00CB5F4F" w:rsidP="00CB5F4F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>В соответствии с п.3 ст.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40CB">
        <w:rPr>
          <w:rFonts w:ascii="Times New Roman" w:hAnsi="Times New Roman"/>
          <w:bCs/>
          <w:sz w:val="26"/>
          <w:szCs w:val="26"/>
        </w:rPr>
        <w:t xml:space="preserve">64 Федерального закона от 29.12.2012 № 273 –ФЗ «Об образовании в Российской Федерации», п.17 ст.8 Закона Приморского края от </w:t>
      </w:r>
      <w:r>
        <w:rPr>
          <w:rFonts w:ascii="Times New Roman" w:hAnsi="Times New Roman"/>
          <w:bCs/>
          <w:sz w:val="26"/>
          <w:szCs w:val="26"/>
        </w:rPr>
        <w:t xml:space="preserve">13.08.2013 №  243-КЗ «Об образовании в Приморском крае» действуют </w:t>
      </w:r>
      <w:r w:rsidR="003B2490">
        <w:rPr>
          <w:rFonts w:ascii="Times New Roman" w:hAnsi="Times New Roman"/>
          <w:bCs/>
          <w:sz w:val="26"/>
          <w:szCs w:val="26"/>
        </w:rPr>
        <w:t>к</w:t>
      </w:r>
      <w:r w:rsidRPr="002C40CB">
        <w:rPr>
          <w:rFonts w:ascii="Times New Roman" w:hAnsi="Times New Roman"/>
          <w:bCs/>
          <w:sz w:val="26"/>
          <w:szCs w:val="26"/>
        </w:rPr>
        <w:t>онсультационные пункты, созданные при ДОО, общеобразовательных орган</w:t>
      </w:r>
      <w:r w:rsidR="00500F19">
        <w:rPr>
          <w:rFonts w:ascii="Times New Roman" w:hAnsi="Times New Roman"/>
          <w:bCs/>
          <w:sz w:val="26"/>
          <w:szCs w:val="26"/>
        </w:rPr>
        <w:t>изациях, управлении образования</w:t>
      </w:r>
      <w:r w:rsidRPr="002C40CB">
        <w:rPr>
          <w:rFonts w:ascii="Times New Roman" w:hAnsi="Times New Roman"/>
          <w:bCs/>
          <w:sz w:val="26"/>
          <w:szCs w:val="26"/>
        </w:rPr>
        <w:t>, в которых оказывается методическая, психолого – педагогическая, диагностическая и консультационная помощь родителям (законным представителям) несовершеннолетних обучающихся.</w:t>
      </w:r>
    </w:p>
    <w:p w:rsidR="00CB5F4F" w:rsidRPr="002C40CB" w:rsidRDefault="00CB5F4F" w:rsidP="00CB5F4F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C40CB">
        <w:rPr>
          <w:rFonts w:ascii="Times New Roman" w:hAnsi="Times New Roman"/>
          <w:bCs/>
          <w:sz w:val="26"/>
          <w:szCs w:val="26"/>
        </w:rPr>
        <w:t xml:space="preserve"> По результатам проведенного мониторинга удовлетворенности потребителей качеством товаров, работ и услуг на товарных рынках  городского округа  и состоянием ценовой конкуренции рынок услуг дошкольного образования получил положительную оценку потребителей (</w:t>
      </w:r>
      <w:r>
        <w:rPr>
          <w:rFonts w:ascii="Times New Roman" w:hAnsi="Times New Roman"/>
          <w:bCs/>
          <w:sz w:val="26"/>
          <w:szCs w:val="26"/>
        </w:rPr>
        <w:t>92</w:t>
      </w:r>
      <w:r w:rsidRPr="002C40CB">
        <w:rPr>
          <w:rFonts w:ascii="Times New Roman" w:hAnsi="Times New Roman"/>
          <w:bCs/>
          <w:sz w:val="26"/>
          <w:szCs w:val="26"/>
        </w:rPr>
        <w:t xml:space="preserve">%). </w:t>
      </w:r>
    </w:p>
    <w:p w:rsidR="004115EC" w:rsidRDefault="004115EC" w:rsidP="004115EC">
      <w:pPr>
        <w:spacing w:line="360" w:lineRule="auto"/>
        <w:ind w:right="-2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84A1B">
        <w:rPr>
          <w:rFonts w:ascii="Times New Roman" w:hAnsi="Times New Roman"/>
          <w:b/>
          <w:bCs/>
          <w:sz w:val="26"/>
          <w:szCs w:val="26"/>
        </w:rPr>
        <w:t>Рынок услуг дополнительного образования детей</w:t>
      </w:r>
    </w:p>
    <w:p w:rsidR="003B2490" w:rsidRDefault="003B2490" w:rsidP="003B24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4A1B">
        <w:rPr>
          <w:rFonts w:ascii="Times New Roman" w:hAnsi="Times New Roman"/>
          <w:bCs/>
          <w:sz w:val="26"/>
          <w:szCs w:val="26"/>
        </w:rPr>
        <w:t xml:space="preserve">В </w:t>
      </w:r>
      <w:r>
        <w:rPr>
          <w:rFonts w:ascii="Times New Roman" w:hAnsi="Times New Roman"/>
          <w:bCs/>
          <w:sz w:val="26"/>
          <w:szCs w:val="26"/>
        </w:rPr>
        <w:t>городской</w:t>
      </w:r>
      <w:r w:rsidRPr="00F84A1B">
        <w:rPr>
          <w:rFonts w:ascii="Times New Roman" w:hAnsi="Times New Roman"/>
          <w:bCs/>
          <w:sz w:val="26"/>
          <w:szCs w:val="26"/>
        </w:rPr>
        <w:t xml:space="preserve"> местности находится </w:t>
      </w:r>
      <w:r>
        <w:rPr>
          <w:rFonts w:ascii="Times New Roman" w:hAnsi="Times New Roman"/>
          <w:bCs/>
          <w:sz w:val="26"/>
          <w:szCs w:val="26"/>
        </w:rPr>
        <w:t>28 образовательных</w:t>
      </w:r>
      <w:r w:rsidRPr="00F84A1B">
        <w:rPr>
          <w:rFonts w:ascii="Times New Roman" w:hAnsi="Times New Roman"/>
          <w:bCs/>
          <w:sz w:val="26"/>
          <w:szCs w:val="26"/>
        </w:rPr>
        <w:t xml:space="preserve"> организаций. Образовательная деятельность в них осуществляется на основании лицензий.</w:t>
      </w:r>
    </w:p>
    <w:p w:rsidR="003B2490" w:rsidRDefault="003B2490" w:rsidP="003B24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4A1B">
        <w:rPr>
          <w:rFonts w:ascii="Times New Roman" w:hAnsi="Times New Roman"/>
          <w:bCs/>
          <w:sz w:val="26"/>
          <w:szCs w:val="26"/>
        </w:rPr>
        <w:t xml:space="preserve">На территории </w:t>
      </w:r>
      <w:r>
        <w:rPr>
          <w:rFonts w:ascii="Times New Roman" w:hAnsi="Times New Roman"/>
          <w:bCs/>
          <w:sz w:val="26"/>
          <w:szCs w:val="26"/>
        </w:rPr>
        <w:t xml:space="preserve">городского округа Спасск-Дальний </w:t>
      </w:r>
      <w:r w:rsidRPr="00F84A1B">
        <w:rPr>
          <w:rFonts w:ascii="Times New Roman" w:hAnsi="Times New Roman"/>
          <w:bCs/>
          <w:sz w:val="26"/>
          <w:szCs w:val="26"/>
        </w:rPr>
        <w:t xml:space="preserve">Приморского края услуги дополнительного образования детей </w:t>
      </w:r>
      <w:r>
        <w:rPr>
          <w:rFonts w:ascii="Times New Roman" w:hAnsi="Times New Roman"/>
          <w:bCs/>
          <w:sz w:val="26"/>
          <w:szCs w:val="26"/>
        </w:rPr>
        <w:t>реализуются</w:t>
      </w:r>
      <w:r w:rsidRPr="00F84A1B">
        <w:rPr>
          <w:rFonts w:ascii="Times New Roman" w:hAnsi="Times New Roman"/>
          <w:bCs/>
          <w:sz w:val="26"/>
          <w:szCs w:val="26"/>
        </w:rPr>
        <w:t xml:space="preserve"> в </w:t>
      </w:r>
      <w:r>
        <w:rPr>
          <w:rFonts w:ascii="Times New Roman" w:hAnsi="Times New Roman"/>
          <w:bCs/>
          <w:sz w:val="26"/>
          <w:szCs w:val="26"/>
        </w:rPr>
        <w:t xml:space="preserve">подведомственных управлению образования двух муниципальных </w:t>
      </w:r>
      <w:r w:rsidRPr="00F84A1B">
        <w:rPr>
          <w:rFonts w:ascii="Times New Roman" w:hAnsi="Times New Roman"/>
          <w:bCs/>
          <w:sz w:val="26"/>
          <w:szCs w:val="26"/>
        </w:rPr>
        <w:t xml:space="preserve">учреждениях по различным направлениям </w:t>
      </w:r>
      <w:r>
        <w:rPr>
          <w:rFonts w:ascii="Times New Roman" w:hAnsi="Times New Roman"/>
          <w:bCs/>
          <w:sz w:val="26"/>
          <w:szCs w:val="26"/>
        </w:rPr>
        <w:t>деятельности (художественное, техническое, туристко - краеведческое, социально-педагогическое).</w:t>
      </w:r>
    </w:p>
    <w:p w:rsidR="003B2490" w:rsidRPr="00F84A1B" w:rsidRDefault="003B2490" w:rsidP="003B24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4A1B">
        <w:rPr>
          <w:rFonts w:ascii="Times New Roman" w:hAnsi="Times New Roman"/>
          <w:bCs/>
          <w:sz w:val="26"/>
          <w:szCs w:val="26"/>
        </w:rPr>
        <w:t xml:space="preserve">Общее число детей в возрасте от 5 до 18 лет, занимающихся по дополнительным образовательным программам 74% - </w:t>
      </w:r>
      <w:r>
        <w:rPr>
          <w:rFonts w:ascii="Times New Roman" w:hAnsi="Times New Roman"/>
          <w:bCs/>
          <w:sz w:val="26"/>
          <w:szCs w:val="26"/>
        </w:rPr>
        <w:t>6483</w:t>
      </w:r>
      <w:r w:rsidRPr="00F84A1B">
        <w:rPr>
          <w:rFonts w:ascii="Times New Roman" w:hAnsi="Times New Roman"/>
          <w:bCs/>
          <w:sz w:val="26"/>
          <w:szCs w:val="26"/>
        </w:rPr>
        <w:t xml:space="preserve"> человек (201</w:t>
      </w:r>
      <w:r>
        <w:rPr>
          <w:rFonts w:ascii="Times New Roman" w:hAnsi="Times New Roman"/>
          <w:bCs/>
          <w:sz w:val="26"/>
          <w:szCs w:val="26"/>
        </w:rPr>
        <w:t>7</w:t>
      </w:r>
      <w:r w:rsidRPr="00F84A1B">
        <w:rPr>
          <w:rFonts w:ascii="Times New Roman" w:hAnsi="Times New Roman"/>
          <w:bCs/>
          <w:sz w:val="26"/>
          <w:szCs w:val="26"/>
        </w:rPr>
        <w:t xml:space="preserve"> год - </w:t>
      </w:r>
      <w:r>
        <w:rPr>
          <w:rFonts w:ascii="Times New Roman" w:hAnsi="Times New Roman"/>
          <w:bCs/>
          <w:sz w:val="26"/>
          <w:szCs w:val="26"/>
        </w:rPr>
        <w:t xml:space="preserve">6464 человека), </w:t>
      </w:r>
      <w:r w:rsidRPr="00F84A1B">
        <w:rPr>
          <w:rFonts w:ascii="Times New Roman" w:hAnsi="Times New Roman"/>
          <w:bCs/>
          <w:sz w:val="26"/>
          <w:szCs w:val="26"/>
        </w:rPr>
        <w:t xml:space="preserve">в том числе </w:t>
      </w:r>
      <w:r>
        <w:rPr>
          <w:rFonts w:ascii="Times New Roman" w:hAnsi="Times New Roman"/>
          <w:bCs/>
          <w:sz w:val="26"/>
          <w:szCs w:val="26"/>
        </w:rPr>
        <w:t>113</w:t>
      </w:r>
      <w:r w:rsidRPr="000D489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детей</w:t>
      </w:r>
      <w:r w:rsidRPr="00F84A1B">
        <w:rPr>
          <w:rFonts w:ascii="Times New Roman" w:hAnsi="Times New Roman"/>
          <w:bCs/>
          <w:sz w:val="26"/>
          <w:szCs w:val="26"/>
        </w:rPr>
        <w:t xml:space="preserve"> с огран</w:t>
      </w:r>
      <w:r>
        <w:rPr>
          <w:rFonts w:ascii="Times New Roman" w:hAnsi="Times New Roman"/>
          <w:bCs/>
          <w:sz w:val="26"/>
          <w:szCs w:val="26"/>
        </w:rPr>
        <w:t>иченными возможностями здоровья.</w:t>
      </w:r>
    </w:p>
    <w:p w:rsidR="003B249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DC5878">
        <w:rPr>
          <w:rFonts w:ascii="Times New Roman" w:hAnsi="Times New Roman"/>
          <w:bCs/>
          <w:sz w:val="26"/>
          <w:szCs w:val="26"/>
        </w:rPr>
        <w:t>За последние 3 года в муниципальных учреждениях дополнительного образования охват детей и подростков услугами дополнительного образования остается стабильным: 20</w:t>
      </w:r>
      <w:r>
        <w:rPr>
          <w:rFonts w:ascii="Times New Roman" w:hAnsi="Times New Roman"/>
          <w:bCs/>
          <w:sz w:val="26"/>
          <w:szCs w:val="26"/>
        </w:rPr>
        <w:t>16 год – 6463, 2017 год – 6464, 2018 год – 6483.</w:t>
      </w:r>
      <w:r w:rsidRPr="00DC5878">
        <w:rPr>
          <w:rFonts w:ascii="Times New Roman" w:hAnsi="Times New Roman"/>
          <w:bCs/>
          <w:sz w:val="26"/>
          <w:szCs w:val="26"/>
        </w:rPr>
        <w:t xml:space="preserve">  </w:t>
      </w:r>
    </w:p>
    <w:p w:rsidR="003B2490" w:rsidRPr="00DC5878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C6252C">
        <w:rPr>
          <w:rFonts w:ascii="Times New Roman" w:hAnsi="Times New Roman"/>
          <w:bCs/>
          <w:sz w:val="26"/>
          <w:szCs w:val="26"/>
        </w:rPr>
        <w:t>Ключевыми мероприятиями по выявлению и поддержке талантливой молодежи являются городские конкурсные программы, в которых в 201</w:t>
      </w:r>
      <w:r>
        <w:rPr>
          <w:rFonts w:ascii="Times New Roman" w:hAnsi="Times New Roman"/>
          <w:bCs/>
          <w:sz w:val="26"/>
          <w:szCs w:val="26"/>
        </w:rPr>
        <w:t>7</w:t>
      </w:r>
      <w:r w:rsidRPr="00C6252C">
        <w:rPr>
          <w:rFonts w:ascii="Times New Roman" w:hAnsi="Times New Roman"/>
          <w:bCs/>
          <w:sz w:val="26"/>
          <w:szCs w:val="26"/>
        </w:rPr>
        <w:t xml:space="preserve"> 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6252C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8</w:t>
      </w:r>
      <w:r w:rsidRPr="00C6252C">
        <w:rPr>
          <w:rFonts w:ascii="Times New Roman" w:hAnsi="Times New Roman"/>
          <w:bCs/>
          <w:sz w:val="26"/>
          <w:szCs w:val="26"/>
        </w:rPr>
        <w:t xml:space="preserve"> учебном году приняли участие 3757 чел. (24 % участников стали победителями и призерами)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B249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F84A1B">
        <w:rPr>
          <w:rFonts w:ascii="Times New Roman" w:hAnsi="Times New Roman"/>
          <w:bCs/>
          <w:sz w:val="26"/>
          <w:szCs w:val="26"/>
        </w:rPr>
        <w:lastRenderedPageBreak/>
        <w:t>Наиболее популярными остаются спортивная и художественная направленности дополнительной образовательной деятельности.</w:t>
      </w:r>
    </w:p>
    <w:p w:rsidR="003B249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</w:t>
      </w:r>
      <w:r w:rsidRPr="00F84A1B">
        <w:rPr>
          <w:rFonts w:ascii="Times New Roman" w:hAnsi="Times New Roman"/>
          <w:bCs/>
          <w:sz w:val="26"/>
          <w:szCs w:val="26"/>
        </w:rPr>
        <w:t xml:space="preserve">чреждения дополнительного образования детей 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63033D">
        <w:rPr>
          <w:rFonts w:ascii="Times New Roman" w:hAnsi="Times New Roman"/>
          <w:bCs/>
          <w:sz w:val="26"/>
          <w:szCs w:val="26"/>
        </w:rPr>
        <w:t>городско</w:t>
      </w:r>
      <w:r>
        <w:rPr>
          <w:rFonts w:ascii="Times New Roman" w:hAnsi="Times New Roman"/>
          <w:bCs/>
          <w:sz w:val="26"/>
          <w:szCs w:val="26"/>
        </w:rPr>
        <w:t>м</w:t>
      </w:r>
      <w:r w:rsidRPr="0063033D">
        <w:rPr>
          <w:rFonts w:ascii="Times New Roman" w:hAnsi="Times New Roman"/>
          <w:bCs/>
          <w:sz w:val="26"/>
          <w:szCs w:val="26"/>
        </w:rPr>
        <w:t xml:space="preserve"> округ</w:t>
      </w:r>
      <w:r>
        <w:rPr>
          <w:rFonts w:ascii="Times New Roman" w:hAnsi="Times New Roman"/>
          <w:bCs/>
          <w:sz w:val="26"/>
          <w:szCs w:val="26"/>
        </w:rPr>
        <w:t>е</w:t>
      </w:r>
      <w:r w:rsidRPr="0063033D">
        <w:rPr>
          <w:rFonts w:ascii="Times New Roman" w:hAnsi="Times New Roman"/>
          <w:bCs/>
          <w:sz w:val="26"/>
          <w:szCs w:val="26"/>
        </w:rPr>
        <w:t xml:space="preserve"> Спасск-Дальний</w:t>
      </w:r>
      <w:r w:rsidRPr="00F84A1B">
        <w:rPr>
          <w:rFonts w:ascii="Times New Roman" w:hAnsi="Times New Roman"/>
          <w:bCs/>
          <w:sz w:val="26"/>
          <w:szCs w:val="26"/>
        </w:rPr>
        <w:t xml:space="preserve"> Приморско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F84A1B">
        <w:rPr>
          <w:rFonts w:ascii="Times New Roman" w:hAnsi="Times New Roman"/>
          <w:bCs/>
          <w:sz w:val="26"/>
          <w:szCs w:val="26"/>
        </w:rPr>
        <w:t xml:space="preserve"> кра</w:t>
      </w:r>
      <w:r>
        <w:rPr>
          <w:rFonts w:ascii="Times New Roman" w:hAnsi="Times New Roman"/>
          <w:bCs/>
          <w:sz w:val="26"/>
          <w:szCs w:val="26"/>
        </w:rPr>
        <w:t>я</w:t>
      </w:r>
      <w:r w:rsidRPr="00F84A1B">
        <w:rPr>
          <w:rFonts w:ascii="Times New Roman" w:hAnsi="Times New Roman"/>
          <w:bCs/>
          <w:sz w:val="26"/>
          <w:szCs w:val="26"/>
        </w:rPr>
        <w:t xml:space="preserve"> финансируются из муниципальн</w:t>
      </w:r>
      <w:r>
        <w:rPr>
          <w:rFonts w:ascii="Times New Roman" w:hAnsi="Times New Roman"/>
          <w:bCs/>
          <w:sz w:val="26"/>
          <w:szCs w:val="26"/>
        </w:rPr>
        <w:t xml:space="preserve">ого </w:t>
      </w:r>
      <w:r w:rsidRPr="00F84A1B">
        <w:rPr>
          <w:rFonts w:ascii="Times New Roman" w:hAnsi="Times New Roman"/>
          <w:bCs/>
          <w:sz w:val="26"/>
          <w:szCs w:val="26"/>
        </w:rPr>
        <w:t>бюджет</w:t>
      </w:r>
      <w:r>
        <w:rPr>
          <w:rFonts w:ascii="Times New Roman" w:hAnsi="Times New Roman"/>
          <w:bCs/>
          <w:sz w:val="26"/>
          <w:szCs w:val="26"/>
        </w:rPr>
        <w:t>а</w:t>
      </w:r>
      <w:r w:rsidRPr="00F84A1B">
        <w:rPr>
          <w:rFonts w:ascii="Times New Roman" w:hAnsi="Times New Roman"/>
          <w:bCs/>
          <w:sz w:val="26"/>
          <w:szCs w:val="26"/>
        </w:rPr>
        <w:t xml:space="preserve"> на основании задан</w:t>
      </w:r>
      <w:r>
        <w:rPr>
          <w:rFonts w:ascii="Times New Roman" w:hAnsi="Times New Roman"/>
          <w:bCs/>
          <w:sz w:val="26"/>
          <w:szCs w:val="26"/>
        </w:rPr>
        <w:t>ия</w:t>
      </w:r>
      <w:r w:rsidRPr="00F84A1B">
        <w:rPr>
          <w:rFonts w:ascii="Times New Roman" w:hAnsi="Times New Roman"/>
          <w:bCs/>
          <w:sz w:val="26"/>
          <w:szCs w:val="26"/>
        </w:rPr>
        <w:t xml:space="preserve">. </w:t>
      </w:r>
    </w:p>
    <w:p w:rsidR="003B2490" w:rsidRPr="0099505C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99505C">
        <w:rPr>
          <w:rFonts w:ascii="Times New Roman" w:hAnsi="Times New Roman"/>
          <w:bCs/>
          <w:sz w:val="26"/>
          <w:szCs w:val="26"/>
        </w:rPr>
        <w:t>При организации и проведении мониторинга качества образовательно-воспитательного процесса используются следующие формы и методы: анкетирование, тестирование, наблюдение, опрос, ранжирование, проведение выставок, статистическая обработка информации, экспертное оценивание.</w:t>
      </w:r>
    </w:p>
    <w:p w:rsidR="003B2490" w:rsidRPr="00F84A1B" w:rsidRDefault="003B2490" w:rsidP="003B249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sz w:val="26"/>
          <w:szCs w:val="26"/>
        </w:rPr>
      </w:pPr>
      <w:r w:rsidRPr="0099505C">
        <w:rPr>
          <w:rFonts w:ascii="Times New Roman" w:eastAsia="Times New Roman" w:hAnsi="Times New Roman"/>
          <w:sz w:val="26"/>
          <w:szCs w:val="26"/>
          <w:lang w:eastAsia="ru-RU"/>
        </w:rPr>
        <w:t>Ежегодно мониторинг проводится в соответствии с планом внутреннего контроля образовательных организаций. Согласно приказу Министерства образования и науки РФ от 10 декабря 2013 года № 1324 «Об утверждении показателей деятельности образовательной организации, подлежащей самообследованию», результаты мониторинга ежегодно отражаются в отчете по самообследованию и размещаются на официальн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99505C">
        <w:rPr>
          <w:rFonts w:ascii="Times New Roman" w:eastAsia="Times New Roman" w:hAnsi="Times New Roman"/>
          <w:sz w:val="26"/>
          <w:szCs w:val="26"/>
          <w:lang w:eastAsia="ru-RU"/>
        </w:rPr>
        <w:t xml:space="preserve"> сайт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99505C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950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115EC" w:rsidRPr="00C05E5C" w:rsidRDefault="004115EC" w:rsidP="004115EC">
      <w:pPr>
        <w:spacing w:after="0" w:line="360" w:lineRule="auto"/>
        <w:ind w:right="-2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05E5C">
        <w:rPr>
          <w:rFonts w:ascii="Times New Roman" w:hAnsi="Times New Roman"/>
          <w:b/>
          <w:bCs/>
          <w:sz w:val="26"/>
          <w:szCs w:val="26"/>
        </w:rPr>
        <w:t>Рынок услуг детского отдыха и оздоровления</w:t>
      </w:r>
    </w:p>
    <w:p w:rsidR="003B2490" w:rsidRPr="003227C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227C0">
        <w:rPr>
          <w:rFonts w:ascii="Times New Roman" w:hAnsi="Times New Roman"/>
          <w:bCs/>
          <w:sz w:val="26"/>
          <w:szCs w:val="26"/>
        </w:rPr>
        <w:t>В целях эффективной организации летней оздоровительной кампании 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3227C0">
        <w:rPr>
          <w:rFonts w:ascii="Times New Roman" w:hAnsi="Times New Roman"/>
          <w:bCs/>
          <w:sz w:val="26"/>
          <w:szCs w:val="26"/>
        </w:rPr>
        <w:t xml:space="preserve"> году в городском округе Спасск-Дальний реализуется муниципальная целевая подпрограмма «Организация каникулярного отдыха и занятости детей и подростков в городском округе Спасск-Дальний на </w:t>
      </w:r>
      <w:r>
        <w:rPr>
          <w:rFonts w:ascii="Times New Roman" w:hAnsi="Times New Roman"/>
          <w:bCs/>
          <w:sz w:val="26"/>
          <w:szCs w:val="26"/>
        </w:rPr>
        <w:t>2017-2019</w:t>
      </w:r>
      <w:r w:rsidRPr="003227C0">
        <w:rPr>
          <w:rFonts w:ascii="Times New Roman" w:hAnsi="Times New Roman"/>
          <w:bCs/>
          <w:sz w:val="26"/>
          <w:szCs w:val="26"/>
        </w:rPr>
        <w:t xml:space="preserve"> годы» муниципальной программы «Развитие образования городского округа Спасск-Дальний» на </w:t>
      </w:r>
      <w:r>
        <w:rPr>
          <w:rFonts w:ascii="Times New Roman" w:hAnsi="Times New Roman"/>
          <w:bCs/>
          <w:sz w:val="26"/>
          <w:szCs w:val="26"/>
        </w:rPr>
        <w:t>2017-2019</w:t>
      </w:r>
      <w:r w:rsidRPr="003227C0">
        <w:rPr>
          <w:rFonts w:ascii="Times New Roman" w:hAnsi="Times New Roman"/>
          <w:bCs/>
          <w:sz w:val="26"/>
          <w:szCs w:val="26"/>
        </w:rPr>
        <w:t xml:space="preserve"> годы, утвержденной постановлением Администрации городского округа Спасск-Дальний от </w:t>
      </w:r>
      <w:r>
        <w:rPr>
          <w:rFonts w:ascii="Times New Roman" w:hAnsi="Times New Roman"/>
          <w:bCs/>
          <w:sz w:val="26"/>
          <w:szCs w:val="26"/>
        </w:rPr>
        <w:t>18.01.2017</w:t>
      </w:r>
      <w:r w:rsidRPr="003227C0">
        <w:rPr>
          <w:rFonts w:ascii="Times New Roman" w:hAnsi="Times New Roman"/>
          <w:bCs/>
          <w:sz w:val="26"/>
          <w:szCs w:val="26"/>
        </w:rPr>
        <w:t xml:space="preserve"> г. № </w:t>
      </w:r>
      <w:r>
        <w:rPr>
          <w:rFonts w:ascii="Times New Roman" w:hAnsi="Times New Roman"/>
          <w:bCs/>
          <w:sz w:val="26"/>
          <w:szCs w:val="26"/>
        </w:rPr>
        <w:t>13</w:t>
      </w:r>
      <w:r w:rsidRPr="003227C0">
        <w:rPr>
          <w:rFonts w:ascii="Times New Roman" w:hAnsi="Times New Roman"/>
          <w:bCs/>
          <w:sz w:val="26"/>
          <w:szCs w:val="26"/>
        </w:rPr>
        <w:t>-па.</w:t>
      </w:r>
    </w:p>
    <w:p w:rsidR="003B2490" w:rsidRPr="003227C0" w:rsidRDefault="003B2490" w:rsidP="003B2490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27C0">
        <w:rPr>
          <w:rFonts w:ascii="Times New Roman" w:hAnsi="Times New Roman"/>
          <w:bCs/>
          <w:sz w:val="26"/>
          <w:szCs w:val="26"/>
        </w:rPr>
        <w:t>Администрацией городского округа Спасск-Дальний принято распоряжение «Об организации летнего отдыха, оздоровления и занятости детей и подростков городского округа Спасск-Дальний 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3227C0">
        <w:rPr>
          <w:rFonts w:ascii="Times New Roman" w:hAnsi="Times New Roman"/>
          <w:bCs/>
          <w:sz w:val="26"/>
          <w:szCs w:val="26"/>
        </w:rPr>
        <w:t xml:space="preserve"> году» от 04.05.201</w:t>
      </w:r>
      <w:r>
        <w:rPr>
          <w:rFonts w:ascii="Times New Roman" w:hAnsi="Times New Roman"/>
          <w:bCs/>
          <w:sz w:val="26"/>
          <w:szCs w:val="26"/>
        </w:rPr>
        <w:t>8</w:t>
      </w:r>
      <w:r w:rsidRPr="003227C0">
        <w:rPr>
          <w:rFonts w:ascii="Times New Roman" w:hAnsi="Times New Roman"/>
          <w:bCs/>
          <w:sz w:val="26"/>
          <w:szCs w:val="26"/>
        </w:rPr>
        <w:t xml:space="preserve"> года № 2</w:t>
      </w:r>
      <w:r>
        <w:rPr>
          <w:rFonts w:ascii="Times New Roman" w:hAnsi="Times New Roman"/>
          <w:bCs/>
          <w:sz w:val="26"/>
          <w:szCs w:val="26"/>
        </w:rPr>
        <w:t>06</w:t>
      </w:r>
      <w:r w:rsidRPr="003227C0">
        <w:rPr>
          <w:rFonts w:ascii="Times New Roman" w:hAnsi="Times New Roman"/>
          <w:bCs/>
          <w:sz w:val="26"/>
          <w:szCs w:val="26"/>
        </w:rPr>
        <w:t>-ра.</w:t>
      </w:r>
    </w:p>
    <w:p w:rsidR="003B249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227C0">
        <w:rPr>
          <w:rFonts w:ascii="Times New Roman" w:hAnsi="Times New Roman"/>
          <w:bCs/>
          <w:sz w:val="26"/>
          <w:szCs w:val="26"/>
        </w:rPr>
        <w:t>На территории муниципального образования находятся школ – 8 и одна гимназия (обучается 47</w:t>
      </w:r>
      <w:r>
        <w:rPr>
          <w:rFonts w:ascii="Times New Roman" w:hAnsi="Times New Roman"/>
          <w:bCs/>
          <w:sz w:val="26"/>
          <w:szCs w:val="26"/>
        </w:rPr>
        <w:t>48</w:t>
      </w:r>
      <w:r w:rsidRPr="003227C0">
        <w:rPr>
          <w:rFonts w:ascii="Times New Roman" w:hAnsi="Times New Roman"/>
          <w:bCs/>
          <w:sz w:val="26"/>
          <w:szCs w:val="26"/>
        </w:rPr>
        <w:t xml:space="preserve"> учеников). </w:t>
      </w:r>
    </w:p>
    <w:p w:rsidR="003B2490" w:rsidRPr="00C05E5C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C05E5C">
        <w:rPr>
          <w:rFonts w:ascii="Times New Roman" w:hAnsi="Times New Roman"/>
          <w:bCs/>
          <w:sz w:val="26"/>
          <w:szCs w:val="26"/>
        </w:rPr>
        <w:t>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C05E5C">
        <w:rPr>
          <w:rFonts w:ascii="Times New Roman" w:hAnsi="Times New Roman"/>
          <w:bCs/>
          <w:sz w:val="26"/>
          <w:szCs w:val="26"/>
        </w:rPr>
        <w:t xml:space="preserve"> году в </w:t>
      </w:r>
      <w:r w:rsidRPr="003227C0">
        <w:rPr>
          <w:rFonts w:ascii="Times New Roman" w:hAnsi="Times New Roman"/>
          <w:bCs/>
          <w:sz w:val="26"/>
          <w:szCs w:val="26"/>
        </w:rPr>
        <w:t>городском округе Спасск-Дальний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05E5C">
        <w:rPr>
          <w:rFonts w:ascii="Times New Roman" w:hAnsi="Times New Roman"/>
          <w:bCs/>
          <w:sz w:val="26"/>
          <w:szCs w:val="26"/>
        </w:rPr>
        <w:t>Приморско</w:t>
      </w:r>
      <w:r w:rsidRPr="003227C0">
        <w:rPr>
          <w:rFonts w:ascii="Times New Roman" w:hAnsi="Times New Roman"/>
          <w:bCs/>
          <w:sz w:val="26"/>
          <w:szCs w:val="26"/>
        </w:rPr>
        <w:t>го края</w:t>
      </w:r>
      <w:r w:rsidRPr="00C05E5C">
        <w:rPr>
          <w:rFonts w:ascii="Times New Roman" w:hAnsi="Times New Roman"/>
          <w:bCs/>
          <w:sz w:val="26"/>
          <w:szCs w:val="26"/>
        </w:rPr>
        <w:t xml:space="preserve"> осуществля</w:t>
      </w:r>
      <w:r w:rsidRPr="003227C0">
        <w:rPr>
          <w:rFonts w:ascii="Times New Roman" w:hAnsi="Times New Roman"/>
          <w:bCs/>
          <w:sz w:val="26"/>
          <w:szCs w:val="26"/>
        </w:rPr>
        <w:t>ли</w:t>
      </w:r>
      <w:r w:rsidRPr="00C05E5C">
        <w:rPr>
          <w:rFonts w:ascii="Times New Roman" w:hAnsi="Times New Roman"/>
          <w:bCs/>
          <w:sz w:val="26"/>
          <w:szCs w:val="26"/>
        </w:rPr>
        <w:t xml:space="preserve"> свою деятельность </w:t>
      </w:r>
      <w:r w:rsidRPr="003227C0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4 </w:t>
      </w:r>
      <w:r w:rsidRPr="00C05E5C">
        <w:rPr>
          <w:rFonts w:ascii="Times New Roman" w:hAnsi="Times New Roman"/>
          <w:bCs/>
          <w:sz w:val="26"/>
          <w:szCs w:val="26"/>
        </w:rPr>
        <w:t>муниципальн</w:t>
      </w:r>
      <w:r w:rsidRPr="003227C0">
        <w:rPr>
          <w:rFonts w:ascii="Times New Roman" w:hAnsi="Times New Roman"/>
          <w:bCs/>
          <w:sz w:val="26"/>
          <w:szCs w:val="26"/>
        </w:rPr>
        <w:t xml:space="preserve">ых </w:t>
      </w:r>
      <w:r w:rsidRPr="00C05E5C">
        <w:rPr>
          <w:rFonts w:ascii="Times New Roman" w:hAnsi="Times New Roman"/>
          <w:bCs/>
          <w:sz w:val="26"/>
          <w:szCs w:val="26"/>
        </w:rPr>
        <w:t>организаци</w:t>
      </w:r>
      <w:r w:rsidRPr="003227C0">
        <w:rPr>
          <w:rFonts w:ascii="Times New Roman" w:hAnsi="Times New Roman"/>
          <w:bCs/>
          <w:sz w:val="26"/>
          <w:szCs w:val="26"/>
        </w:rPr>
        <w:t>й детского отдыха и оздоровления</w:t>
      </w:r>
      <w:r w:rsidRPr="00C05E5C">
        <w:rPr>
          <w:rFonts w:ascii="Times New Roman" w:hAnsi="Times New Roman"/>
          <w:bCs/>
          <w:sz w:val="26"/>
          <w:szCs w:val="26"/>
        </w:rPr>
        <w:t>:</w:t>
      </w:r>
    </w:p>
    <w:p w:rsidR="003B2490" w:rsidRPr="00C05E5C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227C0">
        <w:rPr>
          <w:rFonts w:ascii="Times New Roman" w:hAnsi="Times New Roman"/>
          <w:bCs/>
          <w:sz w:val="26"/>
          <w:szCs w:val="26"/>
        </w:rPr>
        <w:lastRenderedPageBreak/>
        <w:t>1</w:t>
      </w:r>
      <w:r w:rsidRPr="00C05E5C">
        <w:rPr>
          <w:rFonts w:ascii="Times New Roman" w:hAnsi="Times New Roman"/>
          <w:bCs/>
          <w:sz w:val="26"/>
          <w:szCs w:val="26"/>
        </w:rPr>
        <w:t xml:space="preserve"> загородны</w:t>
      </w:r>
      <w:r w:rsidRPr="003227C0">
        <w:rPr>
          <w:rFonts w:ascii="Times New Roman" w:hAnsi="Times New Roman"/>
          <w:bCs/>
          <w:sz w:val="26"/>
          <w:szCs w:val="26"/>
        </w:rPr>
        <w:t>й</w:t>
      </w:r>
      <w:r w:rsidRPr="00C05E5C">
        <w:rPr>
          <w:rFonts w:ascii="Times New Roman" w:hAnsi="Times New Roman"/>
          <w:bCs/>
          <w:sz w:val="26"/>
          <w:szCs w:val="26"/>
        </w:rPr>
        <w:t xml:space="preserve"> оздоровительны</w:t>
      </w:r>
      <w:r w:rsidRPr="003227C0">
        <w:rPr>
          <w:rFonts w:ascii="Times New Roman" w:hAnsi="Times New Roman"/>
          <w:bCs/>
          <w:sz w:val="26"/>
          <w:szCs w:val="26"/>
        </w:rPr>
        <w:t>й</w:t>
      </w:r>
      <w:r w:rsidRPr="00C05E5C">
        <w:rPr>
          <w:rFonts w:ascii="Times New Roman" w:hAnsi="Times New Roman"/>
          <w:bCs/>
          <w:sz w:val="26"/>
          <w:szCs w:val="26"/>
        </w:rPr>
        <w:t xml:space="preserve"> лагер</w:t>
      </w:r>
      <w:r w:rsidRPr="003227C0">
        <w:rPr>
          <w:rFonts w:ascii="Times New Roman" w:hAnsi="Times New Roman"/>
          <w:bCs/>
          <w:sz w:val="26"/>
          <w:szCs w:val="26"/>
        </w:rPr>
        <w:t>ь и 1</w:t>
      </w:r>
      <w:r>
        <w:rPr>
          <w:rFonts w:ascii="Times New Roman" w:hAnsi="Times New Roman"/>
          <w:bCs/>
          <w:sz w:val="26"/>
          <w:szCs w:val="26"/>
        </w:rPr>
        <w:t>3</w:t>
      </w:r>
      <w:r w:rsidRPr="00C05E5C">
        <w:rPr>
          <w:rFonts w:ascii="Times New Roman" w:hAnsi="Times New Roman"/>
          <w:bCs/>
          <w:sz w:val="26"/>
          <w:szCs w:val="26"/>
        </w:rPr>
        <w:t xml:space="preserve"> лагер</w:t>
      </w:r>
      <w:r w:rsidRPr="003227C0">
        <w:rPr>
          <w:rFonts w:ascii="Times New Roman" w:hAnsi="Times New Roman"/>
          <w:bCs/>
          <w:sz w:val="26"/>
          <w:szCs w:val="26"/>
        </w:rPr>
        <w:t>ей</w:t>
      </w:r>
      <w:r w:rsidRPr="00C05E5C">
        <w:rPr>
          <w:rFonts w:ascii="Times New Roman" w:hAnsi="Times New Roman"/>
          <w:bCs/>
          <w:sz w:val="26"/>
          <w:szCs w:val="26"/>
        </w:rPr>
        <w:t xml:space="preserve"> с дневным пребыванием детей.</w:t>
      </w:r>
    </w:p>
    <w:p w:rsidR="003B2490" w:rsidRPr="003227C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227C0">
        <w:rPr>
          <w:rFonts w:ascii="Times New Roman" w:hAnsi="Times New Roman"/>
          <w:bCs/>
          <w:sz w:val="26"/>
          <w:szCs w:val="26"/>
        </w:rPr>
        <w:t xml:space="preserve">В лагерях с дневным пребыванием, профильных лагерях и ЗОЛ «Родник здоровья» отдохнули </w:t>
      </w:r>
      <w:r w:rsidRPr="0075615D">
        <w:rPr>
          <w:rFonts w:ascii="Times New Roman" w:hAnsi="Times New Roman"/>
          <w:bCs/>
          <w:sz w:val="26"/>
          <w:szCs w:val="26"/>
        </w:rPr>
        <w:t>4684</w:t>
      </w:r>
      <w:r>
        <w:rPr>
          <w:rFonts w:ascii="Times New Roman" w:hAnsi="Times New Roman"/>
          <w:bCs/>
          <w:sz w:val="26"/>
          <w:szCs w:val="26"/>
        </w:rPr>
        <w:t xml:space="preserve"> ребят.</w:t>
      </w:r>
    </w:p>
    <w:p w:rsidR="003B2490" w:rsidRPr="003227C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227C0">
        <w:rPr>
          <w:rFonts w:ascii="Times New Roman" w:hAnsi="Times New Roman"/>
          <w:bCs/>
          <w:sz w:val="26"/>
          <w:szCs w:val="26"/>
        </w:rPr>
        <w:t>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3227C0">
        <w:rPr>
          <w:rFonts w:ascii="Times New Roman" w:hAnsi="Times New Roman"/>
          <w:bCs/>
          <w:sz w:val="26"/>
          <w:szCs w:val="26"/>
        </w:rPr>
        <w:t xml:space="preserve"> году в городском округе Спасск-Дальний функционировали следующие объекты летнего отдыха:</w:t>
      </w:r>
    </w:p>
    <w:p w:rsidR="003B2490" w:rsidRPr="003227C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227C0">
        <w:rPr>
          <w:rFonts w:ascii="Times New Roman" w:hAnsi="Times New Roman"/>
          <w:bCs/>
          <w:sz w:val="26"/>
          <w:szCs w:val="26"/>
        </w:rPr>
        <w:t xml:space="preserve">-   ЗОЛ «Родник здоровья» (с. Калиновка) 2 смены: </w:t>
      </w:r>
      <w:r w:rsidRPr="00FA0836">
        <w:rPr>
          <w:rFonts w:ascii="Times New Roman" w:hAnsi="Times New Roman"/>
          <w:bCs/>
          <w:sz w:val="26"/>
          <w:szCs w:val="26"/>
        </w:rPr>
        <w:t xml:space="preserve">с </w:t>
      </w:r>
      <w:r>
        <w:rPr>
          <w:rFonts w:ascii="Times New Roman" w:hAnsi="Times New Roman"/>
          <w:bCs/>
          <w:sz w:val="26"/>
          <w:szCs w:val="26"/>
        </w:rPr>
        <w:t>10</w:t>
      </w:r>
      <w:r w:rsidRPr="00FA0836">
        <w:rPr>
          <w:rFonts w:ascii="Times New Roman" w:hAnsi="Times New Roman"/>
          <w:bCs/>
          <w:sz w:val="26"/>
          <w:szCs w:val="26"/>
        </w:rPr>
        <w:t>.06. по 2</w:t>
      </w:r>
      <w:r>
        <w:rPr>
          <w:rFonts w:ascii="Times New Roman" w:hAnsi="Times New Roman"/>
          <w:bCs/>
          <w:sz w:val="26"/>
          <w:szCs w:val="26"/>
        </w:rPr>
        <w:t>7</w:t>
      </w:r>
      <w:r w:rsidRPr="00FA0836">
        <w:rPr>
          <w:rFonts w:ascii="Times New Roman" w:hAnsi="Times New Roman"/>
          <w:bCs/>
          <w:sz w:val="26"/>
          <w:szCs w:val="26"/>
        </w:rPr>
        <w:t>.06.201</w:t>
      </w:r>
      <w:r>
        <w:rPr>
          <w:rFonts w:ascii="Times New Roman" w:hAnsi="Times New Roman"/>
          <w:bCs/>
          <w:sz w:val="26"/>
          <w:szCs w:val="26"/>
        </w:rPr>
        <w:t>8</w:t>
      </w:r>
      <w:r w:rsidRPr="00FA0836">
        <w:rPr>
          <w:rFonts w:ascii="Times New Roman" w:hAnsi="Times New Roman"/>
          <w:bCs/>
          <w:sz w:val="26"/>
          <w:szCs w:val="26"/>
        </w:rPr>
        <w:t xml:space="preserve">; с </w:t>
      </w:r>
      <w:r>
        <w:rPr>
          <w:rFonts w:ascii="Times New Roman" w:hAnsi="Times New Roman"/>
          <w:bCs/>
          <w:sz w:val="26"/>
          <w:szCs w:val="26"/>
        </w:rPr>
        <w:t>30</w:t>
      </w:r>
      <w:r w:rsidRPr="00FA0836">
        <w:rPr>
          <w:rFonts w:ascii="Times New Roman" w:hAnsi="Times New Roman"/>
          <w:bCs/>
          <w:sz w:val="26"/>
          <w:szCs w:val="26"/>
        </w:rPr>
        <w:t>.06. по 1</w:t>
      </w:r>
      <w:r>
        <w:rPr>
          <w:rFonts w:ascii="Times New Roman" w:hAnsi="Times New Roman"/>
          <w:bCs/>
          <w:sz w:val="26"/>
          <w:szCs w:val="26"/>
        </w:rPr>
        <w:t>7</w:t>
      </w:r>
      <w:r w:rsidRPr="00FA0836">
        <w:rPr>
          <w:rFonts w:ascii="Times New Roman" w:hAnsi="Times New Roman"/>
          <w:bCs/>
          <w:sz w:val="26"/>
          <w:szCs w:val="26"/>
        </w:rPr>
        <w:t>.07.201</w:t>
      </w:r>
      <w:r>
        <w:rPr>
          <w:rFonts w:ascii="Times New Roman" w:hAnsi="Times New Roman"/>
          <w:bCs/>
          <w:sz w:val="26"/>
          <w:szCs w:val="26"/>
        </w:rPr>
        <w:t>8</w:t>
      </w:r>
      <w:r w:rsidRPr="003227C0">
        <w:rPr>
          <w:rFonts w:ascii="Times New Roman" w:hAnsi="Times New Roman"/>
          <w:bCs/>
          <w:sz w:val="26"/>
          <w:szCs w:val="26"/>
        </w:rPr>
        <w:t>. Стоимость путевки 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3227C0">
        <w:rPr>
          <w:rFonts w:ascii="Times New Roman" w:hAnsi="Times New Roman"/>
          <w:bCs/>
          <w:sz w:val="26"/>
          <w:szCs w:val="26"/>
        </w:rPr>
        <w:t xml:space="preserve"> году – </w:t>
      </w:r>
      <w:r>
        <w:rPr>
          <w:rFonts w:ascii="Times New Roman" w:hAnsi="Times New Roman"/>
          <w:bCs/>
          <w:sz w:val="26"/>
          <w:szCs w:val="26"/>
        </w:rPr>
        <w:t>24 300</w:t>
      </w:r>
      <w:r w:rsidRPr="00FA0836">
        <w:rPr>
          <w:rFonts w:ascii="Times New Roman" w:hAnsi="Times New Roman"/>
          <w:bCs/>
          <w:sz w:val="26"/>
          <w:szCs w:val="26"/>
        </w:rPr>
        <w:t xml:space="preserve"> рублей</w:t>
      </w:r>
      <w:r w:rsidRPr="003227C0">
        <w:rPr>
          <w:rFonts w:ascii="Times New Roman" w:hAnsi="Times New Roman"/>
          <w:bCs/>
          <w:sz w:val="26"/>
          <w:szCs w:val="26"/>
        </w:rPr>
        <w:t xml:space="preserve">. </w:t>
      </w:r>
    </w:p>
    <w:p w:rsidR="003B2490" w:rsidRPr="003227C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227C0">
        <w:rPr>
          <w:rFonts w:ascii="Times New Roman" w:hAnsi="Times New Roman"/>
          <w:bCs/>
          <w:sz w:val="26"/>
          <w:szCs w:val="26"/>
        </w:rPr>
        <w:t xml:space="preserve">- На базе 9 общеобразовательных организаций и 4 учреждений дополнительного образования в течение летнего периода функционировали 32 лагеря с дневным пребыванием детей с общим охватом </w:t>
      </w:r>
      <w:r>
        <w:rPr>
          <w:rFonts w:ascii="Times New Roman" w:hAnsi="Times New Roman"/>
          <w:bCs/>
          <w:sz w:val="26"/>
          <w:szCs w:val="26"/>
        </w:rPr>
        <w:t>3488</w:t>
      </w:r>
      <w:r w:rsidRPr="003227C0">
        <w:rPr>
          <w:rFonts w:ascii="Times New Roman" w:hAnsi="Times New Roman"/>
          <w:bCs/>
          <w:sz w:val="26"/>
          <w:szCs w:val="26"/>
        </w:rPr>
        <w:t xml:space="preserve"> человека (</w:t>
      </w:r>
      <w:r>
        <w:rPr>
          <w:rFonts w:ascii="Times New Roman" w:hAnsi="Times New Roman"/>
          <w:bCs/>
          <w:sz w:val="26"/>
          <w:szCs w:val="26"/>
        </w:rPr>
        <w:t>2178</w:t>
      </w:r>
      <w:r w:rsidRPr="003227C0">
        <w:rPr>
          <w:rFonts w:ascii="Times New Roman" w:hAnsi="Times New Roman"/>
          <w:bCs/>
          <w:sz w:val="26"/>
          <w:szCs w:val="26"/>
        </w:rPr>
        <w:t xml:space="preserve"> – в первую смену, </w:t>
      </w:r>
      <w:r>
        <w:rPr>
          <w:rFonts w:ascii="Times New Roman" w:hAnsi="Times New Roman"/>
          <w:bCs/>
          <w:sz w:val="26"/>
          <w:szCs w:val="26"/>
        </w:rPr>
        <w:t>1171</w:t>
      </w:r>
      <w:r w:rsidRPr="003227C0">
        <w:rPr>
          <w:rFonts w:ascii="Times New Roman" w:hAnsi="Times New Roman"/>
          <w:bCs/>
          <w:sz w:val="26"/>
          <w:szCs w:val="26"/>
        </w:rPr>
        <w:t xml:space="preserve"> – во вторую и </w:t>
      </w:r>
      <w:r>
        <w:rPr>
          <w:rFonts w:ascii="Times New Roman" w:hAnsi="Times New Roman"/>
          <w:bCs/>
          <w:sz w:val="26"/>
          <w:szCs w:val="26"/>
        </w:rPr>
        <w:t>39</w:t>
      </w:r>
      <w:r w:rsidRPr="003227C0">
        <w:rPr>
          <w:rFonts w:ascii="Times New Roman" w:hAnsi="Times New Roman"/>
          <w:bCs/>
          <w:sz w:val="26"/>
          <w:szCs w:val="26"/>
        </w:rPr>
        <w:t xml:space="preserve"> – в третью) с организацией двухразового питания </w:t>
      </w:r>
      <w:r>
        <w:rPr>
          <w:rFonts w:ascii="Times New Roman" w:hAnsi="Times New Roman"/>
          <w:bCs/>
          <w:sz w:val="26"/>
          <w:szCs w:val="26"/>
        </w:rPr>
        <w:t>на сумму 154,80 рублей.</w:t>
      </w:r>
    </w:p>
    <w:p w:rsidR="003B249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227C0">
        <w:rPr>
          <w:rFonts w:ascii="Times New Roman" w:hAnsi="Times New Roman"/>
          <w:bCs/>
          <w:sz w:val="26"/>
          <w:szCs w:val="26"/>
        </w:rPr>
        <w:t>-   Организованы в летний каникулярный период специализированные смены профильных лагерей для 900 подростков 14-18 лет. Работа профильных лагерей проведена на основе программ</w:t>
      </w:r>
      <w:r>
        <w:rPr>
          <w:rFonts w:ascii="Times New Roman" w:hAnsi="Times New Roman"/>
          <w:bCs/>
          <w:sz w:val="26"/>
          <w:szCs w:val="26"/>
        </w:rPr>
        <w:t xml:space="preserve"> летнего отдыха</w:t>
      </w:r>
      <w:r w:rsidRPr="003227C0">
        <w:rPr>
          <w:rFonts w:ascii="Times New Roman" w:hAnsi="Times New Roman"/>
          <w:bCs/>
          <w:sz w:val="26"/>
          <w:szCs w:val="26"/>
        </w:rPr>
        <w:t xml:space="preserve"> в соответствии с планом мероприятий по следующим направлениям: гражданско-патриотическое (88), художественно-эстетическое (50), экологическое (108), туристско-краеведческое (90), спортивно-техническое (412) , экономическое (42) , познавательно-образовательное (110) с организацией питания (обед) из расчета на 1 ребенка – </w:t>
      </w:r>
      <w:r w:rsidRPr="00FA0836">
        <w:rPr>
          <w:rFonts w:ascii="Times New Roman" w:hAnsi="Times New Roman"/>
          <w:bCs/>
          <w:sz w:val="26"/>
          <w:szCs w:val="26"/>
        </w:rPr>
        <w:t>40 рублей</w:t>
      </w:r>
      <w:r w:rsidRPr="003227C0">
        <w:rPr>
          <w:rFonts w:ascii="Times New Roman" w:hAnsi="Times New Roman"/>
          <w:bCs/>
          <w:sz w:val="26"/>
          <w:szCs w:val="26"/>
        </w:rPr>
        <w:t xml:space="preserve"> в день за счет местного бюджета.</w:t>
      </w:r>
    </w:p>
    <w:p w:rsidR="003B2490" w:rsidRPr="00C05E5C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детей, на которых в 2018 году были произведены выплаты в части компенсации расходов на оплату стоимости путевки, составило 192.</w:t>
      </w:r>
    </w:p>
    <w:p w:rsidR="003B2490" w:rsidRPr="003E5DF7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E5DF7">
        <w:rPr>
          <w:rFonts w:ascii="Times New Roman" w:hAnsi="Times New Roman"/>
          <w:bCs/>
          <w:sz w:val="26"/>
          <w:szCs w:val="26"/>
        </w:rPr>
        <w:t>Управлением образования совместно с КГБУ «Центр занятости населения городского округа Спасск-Дальний» созданы условия для обеспечения занятости подростков путем трудоустройства школьников.</w:t>
      </w:r>
    </w:p>
    <w:p w:rsidR="003B2490" w:rsidRPr="003E5DF7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E5DF7">
        <w:rPr>
          <w:rFonts w:ascii="Times New Roman" w:hAnsi="Times New Roman"/>
          <w:bCs/>
          <w:sz w:val="26"/>
          <w:szCs w:val="26"/>
        </w:rPr>
        <w:t xml:space="preserve">В летний каникулярный период временно трудоустроено с апреля по август </w:t>
      </w:r>
      <w:r>
        <w:rPr>
          <w:rFonts w:ascii="Times New Roman" w:hAnsi="Times New Roman"/>
          <w:bCs/>
          <w:sz w:val="26"/>
          <w:szCs w:val="26"/>
        </w:rPr>
        <w:t xml:space="preserve">414 </w:t>
      </w:r>
      <w:r w:rsidRPr="003E5DF7">
        <w:rPr>
          <w:rFonts w:ascii="Times New Roman" w:hAnsi="Times New Roman"/>
          <w:bCs/>
          <w:sz w:val="26"/>
          <w:szCs w:val="26"/>
        </w:rPr>
        <w:t>несовершеннолетних в возрасте от 14 до 18 лет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B2490" w:rsidRPr="003E5DF7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E5DF7">
        <w:rPr>
          <w:rFonts w:ascii="Times New Roman" w:hAnsi="Times New Roman"/>
          <w:bCs/>
          <w:sz w:val="26"/>
          <w:szCs w:val="26"/>
        </w:rPr>
        <w:t>Трудоустройство детей через КГБУ «Центр занятости населения городского округа Спасск-Дальний» 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3E5DF7">
        <w:rPr>
          <w:rFonts w:ascii="Times New Roman" w:hAnsi="Times New Roman"/>
          <w:bCs/>
          <w:sz w:val="26"/>
          <w:szCs w:val="26"/>
        </w:rPr>
        <w:t xml:space="preserve"> году осуществлялось 12 муниципальными образовательными организациями.</w:t>
      </w:r>
    </w:p>
    <w:p w:rsidR="003B2490" w:rsidRPr="003E5DF7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E5DF7">
        <w:rPr>
          <w:rFonts w:ascii="Times New Roman" w:hAnsi="Times New Roman"/>
          <w:bCs/>
          <w:sz w:val="26"/>
          <w:szCs w:val="26"/>
        </w:rPr>
        <w:lastRenderedPageBreak/>
        <w:t>С несовершеннолетними гражданами заключались срочные трудовые договоры. Временная занятость несовершеннолетних граждан осуществлялась на таких видах работ, как благоустройство территории, озеленение пришкольных участков.</w:t>
      </w:r>
    </w:p>
    <w:p w:rsidR="003B2490" w:rsidRPr="003E5DF7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E5DF7">
        <w:rPr>
          <w:rFonts w:ascii="Times New Roman" w:hAnsi="Times New Roman"/>
          <w:bCs/>
          <w:sz w:val="26"/>
          <w:szCs w:val="26"/>
        </w:rPr>
        <w:t xml:space="preserve">Финансирование мероприятий </w:t>
      </w:r>
      <w:r>
        <w:rPr>
          <w:rFonts w:ascii="Times New Roman" w:hAnsi="Times New Roman"/>
          <w:bCs/>
          <w:sz w:val="26"/>
          <w:szCs w:val="26"/>
        </w:rPr>
        <w:t xml:space="preserve">по организации отдыха и оздоровления детей </w:t>
      </w:r>
      <w:r w:rsidRPr="003E5DF7">
        <w:rPr>
          <w:rFonts w:ascii="Times New Roman" w:hAnsi="Times New Roman"/>
          <w:bCs/>
          <w:sz w:val="26"/>
          <w:szCs w:val="26"/>
        </w:rPr>
        <w:t>осуществлялось за счёт средств краевого и муниципального бюджетов.</w:t>
      </w:r>
    </w:p>
    <w:p w:rsidR="003B2490" w:rsidRDefault="003B2490" w:rsidP="003B2490">
      <w:pPr>
        <w:spacing w:after="0"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E5DF7">
        <w:rPr>
          <w:rFonts w:ascii="Times New Roman" w:hAnsi="Times New Roman"/>
          <w:sz w:val="26"/>
          <w:szCs w:val="26"/>
        </w:rPr>
        <w:t xml:space="preserve">Работа летних лагерей </w:t>
      </w:r>
      <w:r>
        <w:rPr>
          <w:rFonts w:ascii="Times New Roman" w:hAnsi="Times New Roman"/>
          <w:sz w:val="26"/>
          <w:szCs w:val="26"/>
        </w:rPr>
        <w:t>реализована</w:t>
      </w:r>
      <w:r w:rsidRPr="003E5DF7">
        <w:rPr>
          <w:rFonts w:ascii="Times New Roman" w:hAnsi="Times New Roman"/>
          <w:sz w:val="26"/>
          <w:szCs w:val="26"/>
        </w:rPr>
        <w:t xml:space="preserve"> на основании программ летнего отдыха в соответствии с планом мероприятий.</w:t>
      </w:r>
    </w:p>
    <w:p w:rsidR="00E15B9A" w:rsidRPr="001C1ABD" w:rsidRDefault="00E15B9A" w:rsidP="00FE21CF">
      <w:pPr>
        <w:spacing w:line="360" w:lineRule="auto"/>
        <w:ind w:right="-2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C1ABD">
        <w:rPr>
          <w:rFonts w:ascii="Times New Roman" w:hAnsi="Times New Roman"/>
          <w:b/>
          <w:bCs/>
          <w:sz w:val="26"/>
          <w:szCs w:val="26"/>
        </w:rPr>
        <w:t>Рынок услуг перевозок пассажиров наземным транспортом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>Пассажирские перевозки в границах городского округа Спасск-Дальний осуществляются городским автомобильным видами транспорта.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>Муниципальных, государственных предприятий осуществляющих перевозки на территории городского округа Спасск-Дальний нет. Все перевозки осуществляются коммерческими организациями: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>- ООО «СТК»;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>- ООО «Вираж».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>В целях развития конкуренции  все перевозчики были привлечены к регулярным пассажирским перевозкам на конкурсной основе.</w:t>
      </w:r>
    </w:p>
    <w:p w:rsidR="00E15B9A" w:rsidRPr="001C1ABD" w:rsidRDefault="001C1ABD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2017 году </w:t>
      </w:r>
      <w:r w:rsidR="00E15B9A" w:rsidRPr="001C1ABD">
        <w:rPr>
          <w:rFonts w:ascii="Times New Roman" w:hAnsi="Times New Roman"/>
          <w:bCs/>
          <w:sz w:val="26"/>
          <w:szCs w:val="26"/>
        </w:rPr>
        <w:t>был проведен открытый конкурс на право осуществления перевозок по муниципальным маршрутам регулярных перевозок в границах городского округа Спасск-Дальний, по результатам которого были выданы свидетельства об осуществлении перевозок по соответствующему маршруту регулярных перевозок и карты соответствующего маршрута регулярных перевозок.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 xml:space="preserve">На 12 муниципальных маршрутах осуществляют движение 30 автобусов. Стоимость билета на </w:t>
      </w:r>
      <w:r w:rsidR="00500F19">
        <w:rPr>
          <w:rFonts w:ascii="Times New Roman" w:hAnsi="Times New Roman"/>
          <w:bCs/>
          <w:sz w:val="26"/>
          <w:szCs w:val="26"/>
        </w:rPr>
        <w:t>конец</w:t>
      </w:r>
      <w:r w:rsidR="001C1ABD">
        <w:rPr>
          <w:rFonts w:ascii="Times New Roman" w:hAnsi="Times New Roman"/>
          <w:bCs/>
          <w:sz w:val="26"/>
          <w:szCs w:val="26"/>
        </w:rPr>
        <w:t xml:space="preserve"> 2018 год</w:t>
      </w:r>
      <w:r w:rsidR="00500F19">
        <w:rPr>
          <w:rFonts w:ascii="Times New Roman" w:hAnsi="Times New Roman"/>
          <w:bCs/>
          <w:sz w:val="26"/>
          <w:szCs w:val="26"/>
        </w:rPr>
        <w:t>а</w:t>
      </w:r>
      <w:r w:rsidRPr="001C1ABD">
        <w:rPr>
          <w:rFonts w:ascii="Times New Roman" w:hAnsi="Times New Roman"/>
          <w:bCs/>
          <w:sz w:val="26"/>
          <w:szCs w:val="26"/>
        </w:rPr>
        <w:t xml:space="preserve"> составляет 2</w:t>
      </w:r>
      <w:r w:rsidR="001C1ABD">
        <w:rPr>
          <w:rFonts w:ascii="Times New Roman" w:hAnsi="Times New Roman"/>
          <w:bCs/>
          <w:sz w:val="26"/>
          <w:szCs w:val="26"/>
        </w:rPr>
        <w:t>5</w:t>
      </w:r>
      <w:r w:rsidRPr="001C1ABD">
        <w:rPr>
          <w:rFonts w:ascii="Times New Roman" w:hAnsi="Times New Roman"/>
          <w:bCs/>
          <w:sz w:val="26"/>
          <w:szCs w:val="26"/>
        </w:rPr>
        <w:t xml:space="preserve"> рубл</w:t>
      </w:r>
      <w:r w:rsidR="001C1ABD">
        <w:rPr>
          <w:rFonts w:ascii="Times New Roman" w:hAnsi="Times New Roman"/>
          <w:bCs/>
          <w:sz w:val="26"/>
          <w:szCs w:val="26"/>
        </w:rPr>
        <w:t>ей</w:t>
      </w:r>
      <w:r w:rsidRPr="001C1ABD">
        <w:rPr>
          <w:rFonts w:ascii="Times New Roman" w:hAnsi="Times New Roman"/>
          <w:bCs/>
          <w:sz w:val="26"/>
          <w:szCs w:val="26"/>
        </w:rPr>
        <w:t>.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>В целях развития конкуренции в сфере пассажирских перевозок предусмотрено: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>развитие и совершенствование законодательства в области регулирования пассажирских регулярных перевозок;</w:t>
      </w:r>
    </w:p>
    <w:p w:rsidR="00E15B9A" w:rsidRPr="001C1ABD" w:rsidRDefault="00E15B9A" w:rsidP="00E15B9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1C1ABD">
        <w:rPr>
          <w:rFonts w:ascii="Times New Roman" w:hAnsi="Times New Roman"/>
          <w:bCs/>
          <w:sz w:val="26"/>
          <w:szCs w:val="26"/>
        </w:rPr>
        <w:t>капитальный и текущий ремонт дорог.</w:t>
      </w:r>
    </w:p>
    <w:p w:rsidR="00E15B9A" w:rsidRDefault="00E15B9A" w:rsidP="00E15B9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1ABD">
        <w:rPr>
          <w:rFonts w:ascii="Times New Roman" w:hAnsi="Times New Roman"/>
          <w:sz w:val="26"/>
          <w:szCs w:val="26"/>
        </w:rPr>
        <w:t>ООО «</w:t>
      </w:r>
      <w:r w:rsidR="001C1ABD">
        <w:rPr>
          <w:rFonts w:ascii="Times New Roman" w:hAnsi="Times New Roman"/>
          <w:sz w:val="26"/>
          <w:szCs w:val="26"/>
        </w:rPr>
        <w:t>Вираж</w:t>
      </w:r>
      <w:r w:rsidRPr="001C1ABD">
        <w:rPr>
          <w:rFonts w:ascii="Times New Roman" w:hAnsi="Times New Roman"/>
          <w:sz w:val="26"/>
          <w:szCs w:val="26"/>
        </w:rPr>
        <w:t>» в рамках программы «Развитие малого и среднего предпринимательства на территории городского округа Спасск-Дальний на 2017-</w:t>
      </w:r>
      <w:r w:rsidRPr="001C1ABD">
        <w:rPr>
          <w:rFonts w:ascii="Times New Roman" w:hAnsi="Times New Roman"/>
          <w:sz w:val="26"/>
          <w:szCs w:val="26"/>
        </w:rPr>
        <w:lastRenderedPageBreak/>
        <w:t>2019 годы»  в 201</w:t>
      </w:r>
      <w:r w:rsidR="001C1ABD">
        <w:rPr>
          <w:rFonts w:ascii="Times New Roman" w:hAnsi="Times New Roman"/>
          <w:sz w:val="26"/>
          <w:szCs w:val="26"/>
        </w:rPr>
        <w:t>8</w:t>
      </w:r>
      <w:r w:rsidRPr="001C1ABD">
        <w:rPr>
          <w:rFonts w:ascii="Times New Roman" w:hAnsi="Times New Roman"/>
          <w:sz w:val="26"/>
          <w:szCs w:val="26"/>
        </w:rPr>
        <w:t xml:space="preserve"> году получило субсидию на возмещение затрат, связанных с уплатой лизинговых платежей по договорам финансовой аренды (лизинга) автотранспортных средств в сумме </w:t>
      </w:r>
      <w:r w:rsidR="00A76629">
        <w:rPr>
          <w:rFonts w:ascii="Times New Roman" w:hAnsi="Times New Roman"/>
          <w:sz w:val="26"/>
          <w:szCs w:val="26"/>
        </w:rPr>
        <w:t>1051,91 тыс.</w:t>
      </w:r>
      <w:r w:rsidRPr="001C1ABD">
        <w:rPr>
          <w:rFonts w:ascii="Times New Roman" w:hAnsi="Times New Roman"/>
          <w:sz w:val="26"/>
          <w:szCs w:val="26"/>
        </w:rPr>
        <w:t xml:space="preserve"> рублей.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993"/>
        <w:gridCol w:w="1133"/>
        <w:gridCol w:w="992"/>
        <w:gridCol w:w="1418"/>
        <w:gridCol w:w="1702"/>
      </w:tblGrid>
      <w:tr w:rsidR="009976EB" w:rsidRPr="00576AAA" w:rsidTr="009976EB">
        <w:tc>
          <w:tcPr>
            <w:tcW w:w="675" w:type="dxa"/>
            <w:vMerge w:val="restart"/>
          </w:tcPr>
          <w:p w:rsidR="009976EB" w:rsidRPr="00576AAA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76EB" w:rsidRPr="00576AAA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9976EB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6EB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9976EB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vMerge w:val="restart"/>
            <w:vAlign w:val="center"/>
          </w:tcPr>
          <w:p w:rsidR="009976EB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Факт 2015 г.</w:t>
            </w:r>
          </w:p>
        </w:tc>
        <w:tc>
          <w:tcPr>
            <w:tcW w:w="992" w:type="dxa"/>
            <w:vMerge w:val="restart"/>
            <w:vAlign w:val="center"/>
          </w:tcPr>
          <w:p w:rsidR="009976EB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Факт 2016 г.</w:t>
            </w:r>
          </w:p>
        </w:tc>
        <w:tc>
          <w:tcPr>
            <w:tcW w:w="1418" w:type="dxa"/>
            <w:vMerge w:val="restart"/>
          </w:tcPr>
          <w:p w:rsidR="009976EB" w:rsidRDefault="009976EB" w:rsidP="009976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6EB" w:rsidRPr="00576AAA" w:rsidRDefault="009976EB" w:rsidP="009976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9976EB" w:rsidRPr="00576AAA" w:rsidRDefault="009976EB" w:rsidP="009976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702" w:type="dxa"/>
          </w:tcPr>
          <w:p w:rsidR="009976EB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</w:tr>
      <w:tr w:rsidR="009976EB" w:rsidRPr="00576AAA" w:rsidTr="009976EB">
        <w:tc>
          <w:tcPr>
            <w:tcW w:w="675" w:type="dxa"/>
            <w:vMerge/>
          </w:tcPr>
          <w:p w:rsidR="009976EB" w:rsidRPr="00576AAA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76EB" w:rsidRPr="00576AAA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76EB" w:rsidRPr="00576AAA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976EB" w:rsidRPr="00576AAA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76EB" w:rsidRPr="00576AAA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6EB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976EB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г.</w:t>
            </w:r>
          </w:p>
        </w:tc>
      </w:tr>
      <w:tr w:rsidR="00210351" w:rsidRPr="00576AAA" w:rsidTr="009976EB">
        <w:trPr>
          <w:trHeight w:val="251"/>
        </w:trPr>
        <w:tc>
          <w:tcPr>
            <w:tcW w:w="675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10351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0351" w:rsidRPr="00576AAA" w:rsidTr="009976EB">
        <w:trPr>
          <w:trHeight w:val="251"/>
        </w:trPr>
        <w:tc>
          <w:tcPr>
            <w:tcW w:w="675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Социально значимые рынки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детей, получающих услуги дошкольного образования, по присмотру и уходу за детьми в организациях всех форм собственности на территории городского округа Спасск-Дальний 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10351" w:rsidRPr="00576AAA" w:rsidRDefault="00210351" w:rsidP="00576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210351" w:rsidRPr="00576AAA" w:rsidRDefault="009976EB" w:rsidP="00576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 xml:space="preserve">Количество детей в возрасте 5-18 лет, получающих услуги по дополнительному образованию в организациях различной организационно-правовой формы собственности. 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3921</w:t>
            </w:r>
          </w:p>
        </w:tc>
        <w:tc>
          <w:tcPr>
            <w:tcW w:w="992" w:type="dxa"/>
          </w:tcPr>
          <w:p w:rsidR="00210351" w:rsidRPr="00576AAA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</w:t>
            </w:r>
          </w:p>
        </w:tc>
        <w:tc>
          <w:tcPr>
            <w:tcW w:w="1418" w:type="dxa"/>
          </w:tcPr>
          <w:p w:rsidR="00210351" w:rsidRPr="00576AAA" w:rsidRDefault="009976EB" w:rsidP="00576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  <w:tc>
          <w:tcPr>
            <w:tcW w:w="1702" w:type="dxa"/>
          </w:tcPr>
          <w:p w:rsidR="00210351" w:rsidRPr="009976EB" w:rsidRDefault="009976EB" w:rsidP="00576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EB">
              <w:rPr>
                <w:rFonts w:ascii="Times New Roman" w:hAnsi="Times New Roman"/>
                <w:sz w:val="24"/>
                <w:szCs w:val="24"/>
              </w:rPr>
              <w:t>4 344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 xml:space="preserve">Обеспечение стабильного охвата (80%) детей школьного возраста, проживающих на территории </w:t>
            </w: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округа,  услугами организованного отдыха и оздоровления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3" w:type="dxa"/>
          </w:tcPr>
          <w:p w:rsidR="00210351" w:rsidRPr="00B6517C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B6517C">
              <w:rPr>
                <w:rFonts w:ascii="Times New Roman" w:hAnsi="Times New Roman"/>
                <w:sz w:val="24"/>
                <w:szCs w:val="24"/>
              </w:rPr>
              <w:t>4575</w:t>
            </w:r>
          </w:p>
        </w:tc>
        <w:tc>
          <w:tcPr>
            <w:tcW w:w="992" w:type="dxa"/>
          </w:tcPr>
          <w:p w:rsidR="00210351" w:rsidRPr="00B6517C" w:rsidRDefault="009976EB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B6517C">
              <w:rPr>
                <w:rFonts w:ascii="Times New Roman" w:hAnsi="Times New Roman"/>
                <w:sz w:val="24"/>
                <w:szCs w:val="24"/>
              </w:rPr>
              <w:t>4693</w:t>
            </w:r>
          </w:p>
        </w:tc>
        <w:tc>
          <w:tcPr>
            <w:tcW w:w="1418" w:type="dxa"/>
          </w:tcPr>
          <w:p w:rsidR="00210351" w:rsidRPr="00B6517C" w:rsidRDefault="009976EB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7C">
              <w:rPr>
                <w:rFonts w:ascii="Times New Roman" w:hAnsi="Times New Roman"/>
                <w:sz w:val="24"/>
                <w:szCs w:val="24"/>
              </w:rPr>
              <w:t>4574</w:t>
            </w:r>
          </w:p>
        </w:tc>
        <w:tc>
          <w:tcPr>
            <w:tcW w:w="1702" w:type="dxa"/>
          </w:tcPr>
          <w:p w:rsidR="00210351" w:rsidRPr="00B6517C" w:rsidRDefault="009976EB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7C">
              <w:rPr>
                <w:rFonts w:ascii="Times New Roman" w:hAnsi="Times New Roman"/>
                <w:sz w:val="24"/>
                <w:szCs w:val="24"/>
              </w:rPr>
              <w:t>4 684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Количество негосударственных организаций, взаимодействующих с отделом культуры, муниципальными учреждениями культуры городского округа Спасск-Дальний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210351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Количество мастеров декоративно-прикладного творчества на территории городского округа Спасск-Дальний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210351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Доля расходов бюджета,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1418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702" w:type="dxa"/>
          </w:tcPr>
          <w:p w:rsidR="00210351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10351" w:rsidRPr="00576AAA" w:rsidRDefault="00210351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210351" w:rsidRPr="00576AAA" w:rsidRDefault="009976EB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Обеспечение населения городского округа Спасск-Дальний площадью торговых объектов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кв.м. на 1000 жителей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418" w:type="dxa"/>
          </w:tcPr>
          <w:p w:rsidR="00210351" w:rsidRPr="00576AAA" w:rsidRDefault="00210351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702" w:type="dxa"/>
          </w:tcPr>
          <w:p w:rsidR="00210351" w:rsidRDefault="009976EB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включенных в схему нестационарных торговых объектов, расположенных на территории городского округа Спасск-Дальний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210351" w:rsidRPr="00576AAA" w:rsidRDefault="00210351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:rsidR="00210351" w:rsidRPr="00576AAA" w:rsidRDefault="009976EB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Количество объектов потребительского рынка (объектов торговли, бытового обслуживания, общественного питания)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418" w:type="dxa"/>
          </w:tcPr>
          <w:p w:rsidR="00210351" w:rsidRPr="00576AAA" w:rsidRDefault="009976EB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  <w:p w:rsidR="00210351" w:rsidRPr="00576AAA" w:rsidRDefault="00210351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10351" w:rsidRDefault="009976EB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Количество ярмарок, проведенных на территории городского округа Спасск-Дальний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10351" w:rsidRPr="00576AAA" w:rsidRDefault="00210351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210351" w:rsidRPr="00576AAA" w:rsidRDefault="009976EB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Количество магазинов, отделов социальной направленности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10351" w:rsidRPr="00576AAA" w:rsidRDefault="00210351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210351" w:rsidRPr="00576AAA" w:rsidRDefault="009976EB" w:rsidP="00AF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Рынок услуг перевозок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 xml:space="preserve">Доля негосударственных (немуниципальных) перевозчиков на муниципальных маршрутах регулярных перевозок пассажиров наземным автобусным </w:t>
            </w: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 в общем количестве перевозчиков на муниципальных маршрутах регулярных перевозок пассажиров наземным автобусным транспортом в городском округе Спасск-Дальний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10351" w:rsidRPr="00576AAA" w:rsidRDefault="00210351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210351" w:rsidRPr="00576AAA" w:rsidRDefault="009976EB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Доля рейсов по муниципальным маршрутам регулярных перевозок пассажиров наземным транспортом, осуществляемых негосударственными (немуниципальными) перевозчиками в общем количестве рейсов по муниципальным маршрутам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10351" w:rsidRPr="00576AAA" w:rsidRDefault="00210351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210351" w:rsidRPr="00576AAA" w:rsidRDefault="009976EB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7088" w:type="dxa"/>
            <w:gridSpan w:val="5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Системные мероприятия</w:t>
            </w:r>
          </w:p>
        </w:tc>
        <w:tc>
          <w:tcPr>
            <w:tcW w:w="170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Доля безубыточных предприятий, находящихся в муниципальной собственности от общего количества предприятий, ведущих хозяйственную деятельность, находящихся в муниципальной собственности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10351" w:rsidRPr="00576AAA" w:rsidRDefault="00210351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210351" w:rsidRPr="00576AAA" w:rsidRDefault="009976EB" w:rsidP="008A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 xml:space="preserve">Регистрация права муниципальной собственности городского округа </w:t>
            </w: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Спасск-Дальний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210351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10351" w:rsidRPr="00576AAA" w:rsidTr="009976EB">
        <w:tc>
          <w:tcPr>
            <w:tcW w:w="675" w:type="dxa"/>
          </w:tcPr>
          <w:p w:rsidR="00210351" w:rsidRPr="00576AAA" w:rsidRDefault="00210351" w:rsidP="00C6012B">
            <w:pPr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210351" w:rsidRPr="00576AAA" w:rsidRDefault="00210351" w:rsidP="00C60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Преобразование унитарного предприятия в иную организационно-правовую форму собственности</w:t>
            </w:r>
          </w:p>
        </w:tc>
        <w:tc>
          <w:tcPr>
            <w:tcW w:w="993" w:type="dxa"/>
          </w:tcPr>
          <w:p w:rsidR="00210351" w:rsidRPr="00576AAA" w:rsidRDefault="00210351" w:rsidP="00C601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10351" w:rsidRPr="00576AAA" w:rsidRDefault="00210351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10351" w:rsidRPr="00576AAA" w:rsidRDefault="009976EB" w:rsidP="00C6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6A88" w:rsidRPr="00E15B9A" w:rsidRDefault="00866A88" w:rsidP="00E15B9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5B9A" w:rsidRPr="003E5DF7" w:rsidRDefault="00E15B9A" w:rsidP="004115EC">
      <w:pPr>
        <w:spacing w:after="0" w:line="360" w:lineRule="auto"/>
        <w:ind w:right="-2" w:firstLine="709"/>
        <w:jc w:val="both"/>
        <w:rPr>
          <w:rFonts w:ascii="Times New Roman" w:hAnsi="Times New Roman"/>
          <w:b/>
          <w:bCs/>
        </w:rPr>
      </w:pPr>
    </w:p>
    <w:p w:rsidR="004673E5" w:rsidRPr="000A6276" w:rsidRDefault="004673E5" w:rsidP="000A627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E5E" w:rsidRPr="000A6276" w:rsidRDefault="00A41E5E" w:rsidP="000A627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45ED0" w:rsidRPr="00315584" w:rsidRDefault="00045ED0" w:rsidP="000A62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15584" w:rsidRPr="00315584" w:rsidRDefault="00315584" w:rsidP="003155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6FD" w:rsidRPr="00315584" w:rsidRDefault="009A46FD" w:rsidP="00315584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</w:p>
    <w:p w:rsidR="009A46FD" w:rsidRPr="00E263D2" w:rsidRDefault="009A46FD" w:rsidP="009A46F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260E20" w:rsidRPr="00260E20" w:rsidRDefault="00260E20" w:rsidP="00260E20">
      <w:pPr>
        <w:spacing w:after="0" w:line="360" w:lineRule="auto"/>
        <w:ind w:right="-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0E20" w:rsidRPr="00770133" w:rsidRDefault="00260E20" w:rsidP="00770133">
      <w:pPr>
        <w:spacing w:after="0" w:line="36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770133" w:rsidRPr="00770133" w:rsidRDefault="00770133" w:rsidP="00CC5BF1">
      <w:pPr>
        <w:jc w:val="both"/>
        <w:rPr>
          <w:rFonts w:ascii="Times New Roman" w:hAnsi="Times New Roman"/>
          <w:sz w:val="26"/>
          <w:szCs w:val="26"/>
        </w:rPr>
      </w:pPr>
    </w:p>
    <w:sectPr w:rsidR="00770133" w:rsidRPr="00770133" w:rsidSect="0078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B4" w:rsidRDefault="002857B4" w:rsidP="000A55C0">
      <w:pPr>
        <w:spacing w:after="0" w:line="240" w:lineRule="auto"/>
      </w:pPr>
      <w:r>
        <w:separator/>
      </w:r>
    </w:p>
  </w:endnote>
  <w:endnote w:type="continuationSeparator" w:id="1">
    <w:p w:rsidR="002857B4" w:rsidRDefault="002857B4" w:rsidP="000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B4" w:rsidRDefault="002857B4" w:rsidP="000A55C0">
      <w:pPr>
        <w:spacing w:after="0" w:line="240" w:lineRule="auto"/>
      </w:pPr>
      <w:r>
        <w:separator/>
      </w:r>
    </w:p>
  </w:footnote>
  <w:footnote w:type="continuationSeparator" w:id="1">
    <w:p w:rsidR="002857B4" w:rsidRDefault="002857B4" w:rsidP="000A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B1E"/>
    <w:multiLevelType w:val="hybridMultilevel"/>
    <w:tmpl w:val="A77603AE"/>
    <w:lvl w:ilvl="0" w:tplc="578A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F3470"/>
    <w:multiLevelType w:val="hybridMultilevel"/>
    <w:tmpl w:val="CA58147C"/>
    <w:lvl w:ilvl="0" w:tplc="627EEE8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68"/>
    <w:rsid w:val="00045938"/>
    <w:rsid w:val="00045ED0"/>
    <w:rsid w:val="00074BB0"/>
    <w:rsid w:val="00084D84"/>
    <w:rsid w:val="000A4D08"/>
    <w:rsid w:val="000A55C0"/>
    <w:rsid w:val="000A6276"/>
    <w:rsid w:val="000B3824"/>
    <w:rsid w:val="000D5BD2"/>
    <w:rsid w:val="000E3F41"/>
    <w:rsid w:val="000F69EF"/>
    <w:rsid w:val="000F7FEA"/>
    <w:rsid w:val="0010547E"/>
    <w:rsid w:val="00140E4F"/>
    <w:rsid w:val="00170F3C"/>
    <w:rsid w:val="0019155C"/>
    <w:rsid w:val="001C1ABD"/>
    <w:rsid w:val="001C70B7"/>
    <w:rsid w:val="002006E8"/>
    <w:rsid w:val="00210351"/>
    <w:rsid w:val="00214968"/>
    <w:rsid w:val="00225B45"/>
    <w:rsid w:val="00241BD4"/>
    <w:rsid w:val="00254696"/>
    <w:rsid w:val="00260E20"/>
    <w:rsid w:val="002834CB"/>
    <w:rsid w:val="00284445"/>
    <w:rsid w:val="002857B4"/>
    <w:rsid w:val="00286ADC"/>
    <w:rsid w:val="002A2703"/>
    <w:rsid w:val="002C40CB"/>
    <w:rsid w:val="002D4EFB"/>
    <w:rsid w:val="00305FC4"/>
    <w:rsid w:val="00315584"/>
    <w:rsid w:val="003375DE"/>
    <w:rsid w:val="00342C62"/>
    <w:rsid w:val="003741ED"/>
    <w:rsid w:val="003A3197"/>
    <w:rsid w:val="003B2490"/>
    <w:rsid w:val="003B6973"/>
    <w:rsid w:val="003B719F"/>
    <w:rsid w:val="003D2CCE"/>
    <w:rsid w:val="003E3B12"/>
    <w:rsid w:val="003E5B5C"/>
    <w:rsid w:val="004115EC"/>
    <w:rsid w:val="00425AC7"/>
    <w:rsid w:val="00433D4C"/>
    <w:rsid w:val="004356E7"/>
    <w:rsid w:val="00447567"/>
    <w:rsid w:val="00450DBA"/>
    <w:rsid w:val="00452BC8"/>
    <w:rsid w:val="004673E5"/>
    <w:rsid w:val="00487614"/>
    <w:rsid w:val="004A7DD5"/>
    <w:rsid w:val="004E06D5"/>
    <w:rsid w:val="004E1420"/>
    <w:rsid w:val="00500F19"/>
    <w:rsid w:val="00511604"/>
    <w:rsid w:val="00517DAC"/>
    <w:rsid w:val="00552892"/>
    <w:rsid w:val="00576AAA"/>
    <w:rsid w:val="005B29E3"/>
    <w:rsid w:val="005B515D"/>
    <w:rsid w:val="005D015C"/>
    <w:rsid w:val="005D77C1"/>
    <w:rsid w:val="005E08CE"/>
    <w:rsid w:val="005E3A8E"/>
    <w:rsid w:val="005F2BC4"/>
    <w:rsid w:val="006C002D"/>
    <w:rsid w:val="006C54BA"/>
    <w:rsid w:val="006C666A"/>
    <w:rsid w:val="006F68F9"/>
    <w:rsid w:val="00703BE3"/>
    <w:rsid w:val="007238C4"/>
    <w:rsid w:val="00726A68"/>
    <w:rsid w:val="00735A02"/>
    <w:rsid w:val="00745AE0"/>
    <w:rsid w:val="00770133"/>
    <w:rsid w:val="00783692"/>
    <w:rsid w:val="00784138"/>
    <w:rsid w:val="00787318"/>
    <w:rsid w:val="007A3744"/>
    <w:rsid w:val="00814C64"/>
    <w:rsid w:val="00850663"/>
    <w:rsid w:val="00866A88"/>
    <w:rsid w:val="0089727D"/>
    <w:rsid w:val="008A1322"/>
    <w:rsid w:val="008A1D0B"/>
    <w:rsid w:val="008B4567"/>
    <w:rsid w:val="008C32CF"/>
    <w:rsid w:val="008E7AA7"/>
    <w:rsid w:val="008F4E4F"/>
    <w:rsid w:val="0091717D"/>
    <w:rsid w:val="00951955"/>
    <w:rsid w:val="00972E93"/>
    <w:rsid w:val="0098130F"/>
    <w:rsid w:val="009976EB"/>
    <w:rsid w:val="009A2A9A"/>
    <w:rsid w:val="009A46FD"/>
    <w:rsid w:val="009C1B90"/>
    <w:rsid w:val="009F5F8A"/>
    <w:rsid w:val="00A13450"/>
    <w:rsid w:val="00A138CE"/>
    <w:rsid w:val="00A24C13"/>
    <w:rsid w:val="00A31289"/>
    <w:rsid w:val="00A41E5E"/>
    <w:rsid w:val="00A76629"/>
    <w:rsid w:val="00A92D3C"/>
    <w:rsid w:val="00A97218"/>
    <w:rsid w:val="00AD27F6"/>
    <w:rsid w:val="00AE4417"/>
    <w:rsid w:val="00AF09A2"/>
    <w:rsid w:val="00AF6574"/>
    <w:rsid w:val="00B028F3"/>
    <w:rsid w:val="00B41386"/>
    <w:rsid w:val="00B6517C"/>
    <w:rsid w:val="00B808A4"/>
    <w:rsid w:val="00BA6158"/>
    <w:rsid w:val="00BB234C"/>
    <w:rsid w:val="00BC2C66"/>
    <w:rsid w:val="00C0241A"/>
    <w:rsid w:val="00C21BA6"/>
    <w:rsid w:val="00C24E9A"/>
    <w:rsid w:val="00C45C51"/>
    <w:rsid w:val="00C54292"/>
    <w:rsid w:val="00C734E0"/>
    <w:rsid w:val="00C931CD"/>
    <w:rsid w:val="00CA7AAD"/>
    <w:rsid w:val="00CA7FE6"/>
    <w:rsid w:val="00CB5F4F"/>
    <w:rsid w:val="00CC5813"/>
    <w:rsid w:val="00CC5BF1"/>
    <w:rsid w:val="00CF62E4"/>
    <w:rsid w:val="00CF6961"/>
    <w:rsid w:val="00D24B31"/>
    <w:rsid w:val="00D24F3C"/>
    <w:rsid w:val="00D35C7E"/>
    <w:rsid w:val="00D42AB6"/>
    <w:rsid w:val="00D75058"/>
    <w:rsid w:val="00D82360"/>
    <w:rsid w:val="00D84DA7"/>
    <w:rsid w:val="00D85B7C"/>
    <w:rsid w:val="00D908DB"/>
    <w:rsid w:val="00DB7B05"/>
    <w:rsid w:val="00DD54DB"/>
    <w:rsid w:val="00DE0D50"/>
    <w:rsid w:val="00DE1599"/>
    <w:rsid w:val="00DE60A1"/>
    <w:rsid w:val="00DF1E08"/>
    <w:rsid w:val="00DF256C"/>
    <w:rsid w:val="00DF4FC9"/>
    <w:rsid w:val="00E137AE"/>
    <w:rsid w:val="00E1385B"/>
    <w:rsid w:val="00E15B9A"/>
    <w:rsid w:val="00E263D2"/>
    <w:rsid w:val="00E6214A"/>
    <w:rsid w:val="00E7168B"/>
    <w:rsid w:val="00E74A57"/>
    <w:rsid w:val="00E93A62"/>
    <w:rsid w:val="00EC5EAE"/>
    <w:rsid w:val="00EF6E8D"/>
    <w:rsid w:val="00F47CA9"/>
    <w:rsid w:val="00F61B41"/>
    <w:rsid w:val="00F629DB"/>
    <w:rsid w:val="00F857D2"/>
    <w:rsid w:val="00F936DF"/>
    <w:rsid w:val="00FE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5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A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5C0"/>
    <w:rPr>
      <w:rFonts w:ascii="Calibri" w:eastAsia="Calibri" w:hAnsi="Calibri" w:cs="Times New Roman"/>
    </w:rPr>
  </w:style>
  <w:style w:type="paragraph" w:customStyle="1" w:styleId="ConsPlusNormal">
    <w:name w:val="ConsPlusNormal"/>
    <w:rsid w:val="00315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3 Знак"/>
    <w:aliases w:val="Знак Знак"/>
    <w:basedOn w:val="a0"/>
    <w:link w:val="30"/>
    <w:semiHidden/>
    <w:locked/>
    <w:rsid w:val="00214968"/>
    <w:rPr>
      <w:sz w:val="16"/>
      <w:szCs w:val="16"/>
    </w:rPr>
  </w:style>
  <w:style w:type="paragraph" w:styleId="30">
    <w:name w:val="Body Text 3"/>
    <w:aliases w:val="Знак"/>
    <w:basedOn w:val="a"/>
    <w:link w:val="3"/>
    <w:semiHidden/>
    <w:unhideWhenUsed/>
    <w:rsid w:val="0021496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214968"/>
    <w:rPr>
      <w:rFonts w:ascii="Calibri" w:eastAsia="Calibri" w:hAnsi="Calibri" w:cs="Times New Roman"/>
      <w:sz w:val="16"/>
      <w:szCs w:val="16"/>
    </w:rPr>
  </w:style>
  <w:style w:type="table" w:styleId="a9">
    <w:name w:val="Table Grid"/>
    <w:basedOn w:val="a1"/>
    <w:uiPriority w:val="59"/>
    <w:rsid w:val="0021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7FFC9EE04A0A98D54D458B7BC5C90A2490371FE83134F59B6B820DDC46345482C9D0CF906ADCE95455BC5E48CDAC899AD8E38ABF591F3165L9KA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организаций по формам собственности,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государственная форма собственности</c:v>
                </c:pt>
                <c:pt idx="1">
                  <c:v>муниципальная форма собственности</c:v>
                </c:pt>
                <c:pt idx="2">
                  <c:v>частная форма собственности</c:v>
                </c:pt>
                <c:pt idx="3">
                  <c:v>прочая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10.8</c:v>
                </c:pt>
                <c:pt idx="2">
                  <c:v>70.900000000000006</c:v>
                </c:pt>
                <c:pt idx="3">
                  <c:v>9.5</c:v>
                </c:pt>
              </c:numCache>
            </c:numRef>
          </c:val>
        </c:ser>
        <c:dLbls>
          <c:showVal val="1"/>
        </c:dLbls>
      </c:pie3DChart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Удовлетворенность потребителей качеством товаров, работ, услуг</a:t>
            </a:r>
          </a:p>
        </c:rich>
      </c:tx>
    </c:title>
    <c:plotArea>
      <c:layout>
        <c:manualLayout>
          <c:layoutTarget val="inner"/>
          <c:xMode val="edge"/>
          <c:yMode val="edge"/>
          <c:x val="0.34990463465382887"/>
          <c:y val="0.12437600724908461"/>
          <c:w val="0.42020198414317383"/>
          <c:h val="0.7772249282793155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отсутствует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услуги социального обслуживания населения</c:v>
                </c:pt>
                <c:pt idx="1">
                  <c:v>услуги психолого-педагогического сопровождения детей с ограниченными возможностями</c:v>
                </c:pt>
                <c:pt idx="2">
                  <c:v>услуги здравоохранения</c:v>
                </c:pt>
                <c:pt idx="3">
                  <c:v>услуги детского отдыха и оздоровления</c:v>
                </c:pt>
                <c:pt idx="4">
                  <c:v>услуги дополнительного образования детей</c:v>
                </c:pt>
                <c:pt idx="5">
                  <c:v>услуги дошкольного образования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услуги социального обслуживания населения</c:v>
                </c:pt>
                <c:pt idx="1">
                  <c:v>услуги психолого-педагогического сопровождения детей с ограниченными возможностями</c:v>
                </c:pt>
                <c:pt idx="2">
                  <c:v>услуги здравоохранения</c:v>
                </c:pt>
                <c:pt idx="3">
                  <c:v>услуги детского отдыха и оздоровления</c:v>
                </c:pt>
                <c:pt idx="4">
                  <c:v>услуги дополнительного образования детей</c:v>
                </c:pt>
                <c:pt idx="5">
                  <c:v>услуги дошкольного образования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19</c:v>
                </c:pt>
                <c:pt idx="3">
                  <c:v>9</c:v>
                </c:pt>
                <c:pt idx="4">
                  <c:v>11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услуги социального обслуживания населения</c:v>
                </c:pt>
                <c:pt idx="1">
                  <c:v>услуги психолого-педагогического сопровождения детей с ограниченными возможностями</c:v>
                </c:pt>
                <c:pt idx="2">
                  <c:v>услуги здравоохранения</c:v>
                </c:pt>
                <c:pt idx="3">
                  <c:v>услуги детского отдыха и оздоровления</c:v>
                </c:pt>
                <c:pt idx="4">
                  <c:v>услуги дополнительного образования детей</c:v>
                </c:pt>
                <c:pt idx="5">
                  <c:v>услуги дошкольного образования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</c:v>
                </c:pt>
                <c:pt idx="1">
                  <c:v>12</c:v>
                </c:pt>
                <c:pt idx="2">
                  <c:v>13</c:v>
                </c:pt>
                <c:pt idx="3">
                  <c:v>22</c:v>
                </c:pt>
                <c:pt idx="4">
                  <c:v>21</c:v>
                </c:pt>
                <c:pt idx="5">
                  <c:v>29</c:v>
                </c:pt>
              </c:numCache>
            </c:numRef>
          </c:val>
        </c:ser>
        <c:dLbls>
          <c:showVal val="1"/>
        </c:dLbls>
        <c:axId val="130292736"/>
        <c:axId val="130724992"/>
      </c:barChart>
      <c:catAx>
        <c:axId val="130292736"/>
        <c:scaling>
          <c:orientation val="minMax"/>
        </c:scaling>
        <c:axPos val="l"/>
        <c:tickLblPos val="nextTo"/>
        <c:crossAx val="130724992"/>
        <c:crosses val="autoZero"/>
        <c:auto val="1"/>
        <c:lblAlgn val="ctr"/>
        <c:lblOffset val="100"/>
      </c:catAx>
      <c:valAx>
        <c:axId val="13072499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30292736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потребителей качеством товаров, работ, услуг </a:t>
            </a:r>
          </a:p>
        </c:rich>
      </c:tx>
      <c:layout>
        <c:manualLayout>
          <c:xMode val="edge"/>
          <c:yMode val="edge"/>
          <c:x val="0.13829186103723348"/>
          <c:y val="4.1788137433616132E-2"/>
        </c:manualLayout>
      </c:layout>
    </c:title>
    <c:plotArea>
      <c:layout>
        <c:manualLayout>
          <c:layoutTarget val="inner"/>
          <c:xMode val="edge"/>
          <c:yMode val="edge"/>
          <c:x val="0.23700669046173864"/>
          <c:y val="0.12956349206349277"/>
          <c:w val="0.53206281628367624"/>
          <c:h val="0.708385979805690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отсутствует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почтовая связь</c:v>
                </c:pt>
                <c:pt idx="1">
                  <c:v>телефонная связь</c:v>
                </c:pt>
                <c:pt idx="2">
                  <c:v>сотовая связь</c:v>
                </c:pt>
                <c:pt idx="3">
                  <c:v>интернет</c:v>
                </c:pt>
                <c:pt idx="4">
                  <c:v>телевидение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почтовая связь</c:v>
                </c:pt>
                <c:pt idx="1">
                  <c:v>телефонная связь</c:v>
                </c:pt>
                <c:pt idx="2">
                  <c:v>сотовая связь</c:v>
                </c:pt>
                <c:pt idx="3">
                  <c:v>интернет</c:v>
                </c:pt>
                <c:pt idx="4">
                  <c:v>телевидение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почтовая связь</c:v>
                </c:pt>
                <c:pt idx="1">
                  <c:v>телефонная связь</c:v>
                </c:pt>
                <c:pt idx="2">
                  <c:v>сотовая связь</c:v>
                </c:pt>
                <c:pt idx="3">
                  <c:v>интернет</c:v>
                </c:pt>
                <c:pt idx="4">
                  <c:v>телевидение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30</c:v>
                </c:pt>
                <c:pt idx="2">
                  <c:v>27</c:v>
                </c:pt>
                <c:pt idx="3">
                  <c:v>29</c:v>
                </c:pt>
                <c:pt idx="4">
                  <c:v>31</c:v>
                </c:pt>
              </c:numCache>
            </c:numRef>
          </c:val>
        </c:ser>
        <c:axId val="114315264"/>
        <c:axId val="114316800"/>
      </c:barChart>
      <c:catAx>
        <c:axId val="114315264"/>
        <c:scaling>
          <c:orientation val="minMax"/>
        </c:scaling>
        <c:axPos val="l"/>
        <c:tickLblPos val="nextTo"/>
        <c:crossAx val="114316800"/>
        <c:crosses val="autoZero"/>
        <c:auto val="1"/>
        <c:lblAlgn val="ctr"/>
        <c:lblOffset val="100"/>
      </c:catAx>
      <c:valAx>
        <c:axId val="114316800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14315264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8575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потребителей</a:t>
            </a:r>
            <a:r>
              <a:rPr lang="ru-RU" sz="1200" baseline="0"/>
              <a:t> качеством товаров, работ, услуг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1151755176267115"/>
          <c:y val="0.13750000000000001"/>
          <c:w val="0.44154668241208855"/>
          <c:h val="0.8188492063492096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отсутствует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электроснабжение</c:v>
                </c:pt>
                <c:pt idx="1">
                  <c:v>водоснабжение</c:v>
                </c:pt>
                <c:pt idx="2">
                  <c:v>вывоз и утилизация ТБО</c:v>
                </c:pt>
                <c:pt idx="3">
                  <c:v>теплоснабжение</c:v>
                </c:pt>
                <c:pt idx="4">
                  <c:v>услуги по управлению многоквартирными домами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электроснабжение</c:v>
                </c:pt>
                <c:pt idx="1">
                  <c:v>водоснабжение</c:v>
                </c:pt>
                <c:pt idx="2">
                  <c:v>вывоз и утилизация ТБО</c:v>
                </c:pt>
                <c:pt idx="3">
                  <c:v>теплоснабжение</c:v>
                </c:pt>
                <c:pt idx="4">
                  <c:v>услуги по управлению многоквартирными домами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14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электроснабжение</c:v>
                </c:pt>
                <c:pt idx="1">
                  <c:v>водоснабжение</c:v>
                </c:pt>
                <c:pt idx="2">
                  <c:v>вывоз и утилизация ТБО</c:v>
                </c:pt>
                <c:pt idx="3">
                  <c:v>теплоснабжение</c:v>
                </c:pt>
                <c:pt idx="4">
                  <c:v>услуги по управлению многоквартирными домами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27</c:v>
                </c:pt>
                <c:pt idx="2">
                  <c:v>17</c:v>
                </c:pt>
                <c:pt idx="3">
                  <c:v>25</c:v>
                </c:pt>
                <c:pt idx="4">
                  <c:v>12</c:v>
                </c:pt>
              </c:numCache>
            </c:numRef>
          </c:val>
        </c:ser>
        <c:axId val="114548736"/>
        <c:axId val="114550272"/>
      </c:barChart>
      <c:catAx>
        <c:axId val="114548736"/>
        <c:scaling>
          <c:orientation val="minMax"/>
        </c:scaling>
        <c:axPos val="l"/>
        <c:tickLblPos val="nextTo"/>
        <c:crossAx val="114550272"/>
        <c:crosses val="autoZero"/>
        <c:auto val="1"/>
        <c:lblAlgn val="ctr"/>
        <c:lblOffset val="100"/>
      </c:catAx>
      <c:valAx>
        <c:axId val="11455027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14548736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Рынки со слабо выраженной</a:t>
            </a:r>
            <a:r>
              <a:rPr lang="ru-RU" sz="1400" baseline="0"/>
              <a:t> конкуренцией, %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ctr"/>
            <c:showVal val="1"/>
          </c:dLbls>
          <c:cat>
            <c:strRef>
              <c:f>Лист1!$A$2:$A$8</c:f>
              <c:strCache>
                <c:ptCount val="7"/>
                <c:pt idx="0">
                  <c:v>рынок услуг дошкольного образования</c:v>
                </c:pt>
                <c:pt idx="1">
                  <c:v>рынок услуг розничной торговли</c:v>
                </c:pt>
                <c:pt idx="2">
                  <c:v>рынок услуг жилищно-куммунального хозяйства</c:v>
                </c:pt>
                <c:pt idx="3">
                  <c:v>рынок транспортных услуг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социальных услуг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10.8</c:v>
                </c:pt>
                <c:pt idx="1">
                  <c:v>2.7</c:v>
                </c:pt>
                <c:pt idx="2">
                  <c:v>45.9</c:v>
                </c:pt>
                <c:pt idx="3">
                  <c:v>18.899999999999999</c:v>
                </c:pt>
                <c:pt idx="4">
                  <c:v>21.6</c:v>
                </c:pt>
                <c:pt idx="5">
                  <c:v>45.9</c:v>
                </c:pt>
                <c:pt idx="6">
                  <c:v>21.6</c:v>
                </c:pt>
              </c:numCache>
            </c:numRef>
          </c:val>
        </c:ser>
        <c:dLbls>
          <c:showVal val="1"/>
        </c:dLbls>
      </c:pie3DChart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обращений по защите прав потребителей, поступивших в 2017-2018 годах по видам деятельности</a:t>
            </a:r>
          </a:p>
          <a:p>
            <a:pPr>
              <a:defRPr sz="1200"/>
            </a:pP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1151755176267137"/>
          <c:y val="0.13750000000000001"/>
          <c:w val="0.57699616815844978"/>
          <c:h val="0.81884920634921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Лист1!$A$2:$A$12</c:f>
              <c:strCache>
                <c:ptCount val="11"/>
                <c:pt idx="0">
                  <c:v>строительство</c:v>
                </c:pt>
                <c:pt idx="1">
                  <c:v>образование</c:v>
                </c:pt>
                <c:pt idx="2">
                  <c:v>розничная торговля</c:v>
                </c:pt>
                <c:pt idx="3">
                  <c:v>общественное питание</c:v>
                </c:pt>
                <c:pt idx="4">
                  <c:v>бытовое обслуживание</c:v>
                </c:pt>
                <c:pt idx="5">
                  <c:v>транспортные услуги</c:v>
                </c:pt>
                <c:pt idx="6">
                  <c:v>услуги связи</c:v>
                </c:pt>
                <c:pt idx="7">
                  <c:v>финансовые услуги</c:v>
                </c:pt>
                <c:pt idx="8">
                  <c:v>услуги ЖКХ</c:v>
                </c:pt>
                <c:pt idx="9">
                  <c:v>медицинские услуги</c:v>
                </c:pt>
                <c:pt idx="10">
                  <c:v>ветеринарные услуги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</c:v>
                </c:pt>
                <c:pt idx="1">
                  <c:v>9</c:v>
                </c:pt>
                <c:pt idx="2">
                  <c:v>40</c:v>
                </c:pt>
                <c:pt idx="3">
                  <c:v>12</c:v>
                </c:pt>
                <c:pt idx="4">
                  <c:v>5</c:v>
                </c:pt>
                <c:pt idx="5">
                  <c:v>1</c:v>
                </c:pt>
                <c:pt idx="6">
                  <c:v>10</c:v>
                </c:pt>
                <c:pt idx="7">
                  <c:v>3</c:v>
                </c:pt>
                <c:pt idx="8">
                  <c:v>75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Лист1!$A$2:$A$12</c:f>
              <c:strCache>
                <c:ptCount val="11"/>
                <c:pt idx="0">
                  <c:v>строительство</c:v>
                </c:pt>
                <c:pt idx="1">
                  <c:v>образование</c:v>
                </c:pt>
                <c:pt idx="2">
                  <c:v>розничная торговля</c:v>
                </c:pt>
                <c:pt idx="3">
                  <c:v>общественное питание</c:v>
                </c:pt>
                <c:pt idx="4">
                  <c:v>бытовое обслуживание</c:v>
                </c:pt>
                <c:pt idx="5">
                  <c:v>транспортные услуги</c:v>
                </c:pt>
                <c:pt idx="6">
                  <c:v>услуги связи</c:v>
                </c:pt>
                <c:pt idx="7">
                  <c:v>финансовые услуги</c:v>
                </c:pt>
                <c:pt idx="8">
                  <c:v>услуги ЖКХ</c:v>
                </c:pt>
                <c:pt idx="9">
                  <c:v>медицинские услуги</c:v>
                </c:pt>
                <c:pt idx="10">
                  <c:v>ветеринарные услуги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41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76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axId val="114098944"/>
        <c:axId val="114100480"/>
      </c:barChart>
      <c:catAx>
        <c:axId val="114098944"/>
        <c:scaling>
          <c:orientation val="minMax"/>
        </c:scaling>
        <c:axPos val="l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4100480"/>
        <c:crosses val="autoZero"/>
        <c:auto val="1"/>
        <c:lblAlgn val="ctr"/>
        <c:lblOffset val="100"/>
      </c:catAx>
      <c:valAx>
        <c:axId val="114100480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14098944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F601-9C92-4A9F-A224-1FC74779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25</Pages>
  <Words>5424</Words>
  <Characters>30919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klueva_nv</dc:creator>
  <cp:keywords/>
  <dc:description/>
  <cp:lastModifiedBy>klueva_nv</cp:lastModifiedBy>
  <cp:revision>39</cp:revision>
  <cp:lastPrinted>2019-02-08T05:31:00Z</cp:lastPrinted>
  <dcterms:created xsi:type="dcterms:W3CDTF">2018-01-29T02:31:00Z</dcterms:created>
  <dcterms:modified xsi:type="dcterms:W3CDTF">2019-02-11T06:43:00Z</dcterms:modified>
</cp:coreProperties>
</file>