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09" w:rsidRDefault="00C60509" w:rsidP="00C60509">
      <w:pPr>
        <w:jc w:val="center"/>
        <w:rPr>
          <w:b/>
          <w:sz w:val="28"/>
          <w:szCs w:val="28"/>
        </w:rPr>
      </w:pPr>
      <w:r w:rsidRPr="00201743">
        <w:rPr>
          <w:b/>
          <w:sz w:val="28"/>
          <w:szCs w:val="28"/>
        </w:rPr>
        <w:t>Информация о реализации Плана мероприятий («Дорожной карты») по содействию развитию конкуренции, развитию конкурентной среды в городс</w:t>
      </w:r>
      <w:r w:rsidR="00100463">
        <w:rPr>
          <w:b/>
          <w:sz w:val="28"/>
          <w:szCs w:val="28"/>
        </w:rPr>
        <w:t xml:space="preserve">ком округе Спасск-Дальний за </w:t>
      </w:r>
      <w:r w:rsidR="001F558D">
        <w:rPr>
          <w:b/>
          <w:sz w:val="28"/>
          <w:szCs w:val="28"/>
        </w:rPr>
        <w:t>2020</w:t>
      </w:r>
      <w:r w:rsidRPr="00201743">
        <w:rPr>
          <w:b/>
          <w:sz w:val="28"/>
          <w:szCs w:val="28"/>
        </w:rPr>
        <w:t xml:space="preserve"> год</w:t>
      </w:r>
    </w:p>
    <w:tbl>
      <w:tblPr>
        <w:tblW w:w="1577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393"/>
        <w:gridCol w:w="954"/>
        <w:gridCol w:w="39"/>
        <w:gridCol w:w="1417"/>
        <w:gridCol w:w="1276"/>
        <w:gridCol w:w="76"/>
        <w:gridCol w:w="700"/>
        <w:gridCol w:w="32"/>
        <w:gridCol w:w="694"/>
        <w:gridCol w:w="142"/>
        <w:gridCol w:w="16"/>
        <w:gridCol w:w="121"/>
        <w:gridCol w:w="9"/>
        <w:gridCol w:w="864"/>
        <w:gridCol w:w="19"/>
        <w:gridCol w:w="141"/>
        <w:gridCol w:w="142"/>
        <w:gridCol w:w="140"/>
        <w:gridCol w:w="288"/>
        <w:gridCol w:w="3050"/>
        <w:gridCol w:w="82"/>
        <w:gridCol w:w="120"/>
        <w:gridCol w:w="2282"/>
        <w:gridCol w:w="63"/>
        <w:gridCol w:w="90"/>
      </w:tblGrid>
      <w:tr w:rsidR="00A75AF4" w:rsidRPr="00BA0E0F" w:rsidTr="00DB2585">
        <w:trPr>
          <w:gridAfter w:val="1"/>
          <w:wAfter w:w="90" w:type="dxa"/>
          <w:trHeight w:val="370"/>
        </w:trPr>
        <w:tc>
          <w:tcPr>
            <w:tcW w:w="623" w:type="dxa"/>
            <w:vMerge w:val="restart"/>
            <w:vAlign w:val="center"/>
          </w:tcPr>
          <w:p w:rsidR="00F51E12" w:rsidRPr="00BA0E0F" w:rsidRDefault="00DB258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F51E12" w:rsidRPr="00BA0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51E12" w:rsidRPr="00BA0E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F51E12" w:rsidRPr="00BA0E0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F51E12" w:rsidRPr="00BA0E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  <w:vMerge w:val="restart"/>
            <w:vAlign w:val="center"/>
          </w:tcPr>
          <w:p w:rsidR="00F51E12" w:rsidRPr="00BA0E0F" w:rsidRDefault="00F51E12" w:rsidP="00F51E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384" w:type="dxa"/>
            <w:gridSpan w:val="14"/>
          </w:tcPr>
          <w:p w:rsidR="00F51E12" w:rsidRPr="00155F48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3050" w:type="dxa"/>
            <w:vMerge w:val="restart"/>
          </w:tcPr>
          <w:p w:rsidR="00F51E12" w:rsidRPr="00BA0E0F" w:rsidRDefault="00C60509" w:rsidP="00F51E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</w:t>
            </w:r>
          </w:p>
        </w:tc>
        <w:tc>
          <w:tcPr>
            <w:tcW w:w="2547" w:type="dxa"/>
            <w:gridSpan w:val="4"/>
            <w:vMerge w:val="restart"/>
          </w:tcPr>
          <w:p w:rsidR="00F51E12" w:rsidRDefault="00F51E12" w:rsidP="00F51E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E94D85" w:rsidRPr="00155F48" w:rsidRDefault="00E94D85" w:rsidP="00F51E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(ожидаемый)</w:t>
            </w:r>
          </w:p>
        </w:tc>
      </w:tr>
      <w:tr w:rsidR="00A75AF4" w:rsidRPr="00BA0E0F" w:rsidTr="00DB2585">
        <w:trPr>
          <w:gridAfter w:val="1"/>
          <w:wAfter w:w="90" w:type="dxa"/>
          <w:trHeight w:val="634"/>
        </w:trPr>
        <w:tc>
          <w:tcPr>
            <w:tcW w:w="623" w:type="dxa"/>
            <w:vMerge/>
            <w:vAlign w:val="center"/>
          </w:tcPr>
          <w:p w:rsidR="00C60509" w:rsidRPr="00BA0E0F" w:rsidRDefault="00C60509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C60509" w:rsidRPr="00BA0E0F" w:rsidRDefault="00C60509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60509" w:rsidRDefault="00C60509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60509" w:rsidRDefault="00C60509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0509" w:rsidRDefault="00C60509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C60509" w:rsidRPr="00BA0E0F" w:rsidRDefault="00C60509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05" w:type="dxa"/>
            <w:gridSpan w:val="5"/>
          </w:tcPr>
          <w:p w:rsidR="00C60509" w:rsidRDefault="00C60509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60509" w:rsidRPr="00C60509" w:rsidRDefault="00C60509" w:rsidP="00C60509"/>
        </w:tc>
        <w:tc>
          <w:tcPr>
            <w:tcW w:w="1603" w:type="dxa"/>
            <w:gridSpan w:val="7"/>
          </w:tcPr>
          <w:p w:rsidR="00C60509" w:rsidRDefault="001F558D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60509" w:rsidRPr="00155F48" w:rsidRDefault="00EB3387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план/</w:t>
            </w:r>
            <w:r w:rsidR="00D625A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050" w:type="dxa"/>
            <w:vMerge/>
          </w:tcPr>
          <w:p w:rsidR="00C60509" w:rsidRPr="00155F48" w:rsidRDefault="00C60509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/>
          </w:tcPr>
          <w:p w:rsidR="00C60509" w:rsidRPr="00155F48" w:rsidRDefault="00C60509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12" w:rsidRPr="00BA0E0F" w:rsidTr="00DA3CB7">
        <w:trPr>
          <w:gridAfter w:val="1"/>
          <w:wAfter w:w="90" w:type="dxa"/>
        </w:trPr>
        <w:tc>
          <w:tcPr>
            <w:tcW w:w="15683" w:type="dxa"/>
            <w:gridSpan w:val="25"/>
          </w:tcPr>
          <w:p w:rsidR="00F51E12" w:rsidRPr="00697D14" w:rsidRDefault="001050C4" w:rsidP="00F51E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51E12" w:rsidRPr="00697D14">
              <w:rPr>
                <w:b/>
              </w:rPr>
              <w:t>. Рынок услуг дополнительного образования детей</w:t>
            </w:r>
          </w:p>
        </w:tc>
      </w:tr>
      <w:tr w:rsidR="00F51E12" w:rsidRPr="00A56E73" w:rsidTr="00DA3CB7">
        <w:trPr>
          <w:gridAfter w:val="1"/>
          <w:wAfter w:w="90" w:type="dxa"/>
        </w:trPr>
        <w:tc>
          <w:tcPr>
            <w:tcW w:w="15683" w:type="dxa"/>
            <w:gridSpan w:val="25"/>
          </w:tcPr>
          <w:p w:rsidR="00F51E12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783"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момент времени согласно информации, предоставленной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Межрайонной</w:t>
            </w:r>
            <w:r w:rsidRPr="00CC178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Приморскому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территории городского округа Спасск-Дальний состоят на учёте по виду деятельности «Образование дополнительное детей и взрослых»</w:t>
            </w:r>
            <w:r w:rsidR="003D0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Код 85.41) 2 юридических лица – Автономная некоммерческая организация дополнительного образования Образовательный центр «Карусель» и Филиал Автономной некоммерческой организации дополнительного образования Школы английского языка «Лингвист Плюс», а также 6 индивидуальных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предпринимателей.</w:t>
            </w:r>
          </w:p>
          <w:p w:rsidR="00F51E12" w:rsidRPr="00CC1783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реестру лицензий на образовательную деятельность, размещённому на официальном сайте Департамента образования и науки Приморского края, имеет лицензию на образовательную деятельность только Автономная некоммерческая организация дополнительного образования Образовательный центр «Карусель» (регистрационный номер лицензии - 27, дата внесения в реестр лицензий - 03.04.2014). </w:t>
            </w:r>
          </w:p>
          <w:p w:rsidR="00F51E12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этих условиях основной задачей является содействие развитию негосударственных (немуниципальных) социально ориентированных некоммерческих организаций и </w:t>
            </w:r>
            <w:r w:rsidR="00BE44DA" w:rsidRPr="008C17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субъектов</w:t>
            </w:r>
            <w:r w:rsidRPr="00A066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предпринимательства, в том числе индивидуальным предпринимателям, в сфере дополнительного образования.</w:t>
            </w:r>
          </w:p>
        </w:tc>
      </w:tr>
      <w:tr w:rsidR="00A75AF4" w:rsidRPr="00BA0E0F" w:rsidTr="00DB2585">
        <w:trPr>
          <w:gridAfter w:val="1"/>
          <w:wAfter w:w="90" w:type="dxa"/>
        </w:trPr>
        <w:tc>
          <w:tcPr>
            <w:tcW w:w="623" w:type="dxa"/>
            <w:tcBorders>
              <w:bottom w:val="single" w:sz="4" w:space="0" w:color="auto"/>
            </w:tcBorders>
          </w:tcPr>
          <w:p w:rsidR="00B22502" w:rsidRDefault="00B2250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22502" w:rsidRDefault="00B2250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в сфере дополнительного образования детей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B22502" w:rsidRDefault="00CA7B6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225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6" w:type="dxa"/>
            <w:gridSpan w:val="2"/>
            <w:vMerge w:val="restart"/>
          </w:tcPr>
          <w:p w:rsidR="00B22502" w:rsidRPr="00F51E12" w:rsidRDefault="00B22502" w:rsidP="00F51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E12">
              <w:rPr>
                <w:rFonts w:ascii="Times New Roman" w:hAnsi="Times New Roman" w:cs="Times New Roman"/>
                <w:sz w:val="24"/>
                <w:szCs w:val="24"/>
              </w:rPr>
              <w:t xml:space="preserve">в расчёте по </w:t>
            </w:r>
            <w:r w:rsidRPr="008F0B6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F51E12"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  <w:r w:rsidRPr="00F51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оказаны услуги дополнительного образования организация</w:t>
            </w:r>
            <w:r w:rsidRPr="0055160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066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51E12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в общей численности детей, которым оказаны услуги дополнительного образования всеми организациями (всех форм собственности)</w:t>
            </w:r>
          </w:p>
        </w:tc>
        <w:tc>
          <w:tcPr>
            <w:tcW w:w="1276" w:type="dxa"/>
            <w:vMerge w:val="restart"/>
          </w:tcPr>
          <w:p w:rsidR="00B22502" w:rsidRPr="00BA0E0F" w:rsidRDefault="00B22502" w:rsidP="00F51E12">
            <w:pPr>
              <w:jc w:val="center"/>
            </w:pPr>
            <w:r>
              <w:lastRenderedPageBreak/>
              <w:t>проценты</w:t>
            </w:r>
          </w:p>
        </w:tc>
        <w:tc>
          <w:tcPr>
            <w:tcW w:w="776" w:type="dxa"/>
            <w:gridSpan w:val="2"/>
            <w:vMerge w:val="restart"/>
          </w:tcPr>
          <w:p w:rsidR="00B22502" w:rsidRPr="00BA0E0F" w:rsidRDefault="00B2250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005" w:type="dxa"/>
            <w:gridSpan w:val="5"/>
            <w:vMerge w:val="restart"/>
          </w:tcPr>
          <w:p w:rsidR="00B22502" w:rsidRPr="00BA0E0F" w:rsidRDefault="00B2250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603" w:type="dxa"/>
            <w:gridSpan w:val="7"/>
            <w:vMerge w:val="restart"/>
          </w:tcPr>
          <w:p w:rsidR="00B22502" w:rsidRPr="00BA0E0F" w:rsidRDefault="00EB3387" w:rsidP="00000C5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4,6/</w:t>
            </w:r>
            <w:r w:rsidR="00000C5B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B22502" w:rsidRPr="00BA0E0F" w:rsidRDefault="00170345" w:rsidP="00312E1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12E15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помощи не оказывал</w:t>
            </w:r>
            <w:r w:rsidR="007C4A54">
              <w:rPr>
                <w:rFonts w:ascii="Times New Roman" w:hAnsi="Times New Roman"/>
                <w:sz w:val="24"/>
                <w:szCs w:val="24"/>
              </w:rPr>
              <w:t>ось</w:t>
            </w:r>
            <w:r w:rsidR="00E120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  <w:gridSpan w:val="4"/>
            <w:tcBorders>
              <w:bottom w:val="single" w:sz="4" w:space="0" w:color="auto"/>
            </w:tcBorders>
          </w:tcPr>
          <w:p w:rsidR="00B22502" w:rsidRDefault="00B22502" w:rsidP="00DB25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 и  субъект</w:t>
            </w:r>
            <w:r w:rsidRPr="008C17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в сфере дополнительного образования</w:t>
            </w:r>
          </w:p>
        </w:tc>
      </w:tr>
      <w:tr w:rsidR="00FB3D33" w:rsidRPr="00BA0E0F" w:rsidTr="00DB2585">
        <w:trPr>
          <w:gridAfter w:val="1"/>
          <w:wAfter w:w="90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3" w:rsidRPr="00BA0E0F" w:rsidRDefault="00FB3D33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3" w:rsidRPr="00BA0E0F" w:rsidRDefault="00FB3D33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и консультативной помощи организациям частной формы собственности дополнительного образования детей, физическим лицам по вопросам организации образовательной деятельности, а также порядку предоставления субсидий (в случае принятия соответствующих нормативно-правовых актов на федеральном уровне и (или) уровне субъекта РФ)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D33" w:rsidRDefault="00FB3D33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56" w:type="dxa"/>
            <w:gridSpan w:val="2"/>
            <w:vMerge/>
          </w:tcPr>
          <w:p w:rsidR="00FB3D33" w:rsidRPr="00BA0E0F" w:rsidRDefault="00FB3D33" w:rsidP="00F51E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3D33" w:rsidRPr="00BA0E0F" w:rsidRDefault="00FB3D33" w:rsidP="00F51E12">
            <w:pPr>
              <w:jc w:val="center"/>
            </w:pPr>
          </w:p>
        </w:tc>
        <w:tc>
          <w:tcPr>
            <w:tcW w:w="776" w:type="dxa"/>
            <w:gridSpan w:val="2"/>
            <w:vMerge/>
            <w:tcBorders>
              <w:bottom w:val="single" w:sz="4" w:space="0" w:color="auto"/>
            </w:tcBorders>
          </w:tcPr>
          <w:p w:rsidR="00FB3D33" w:rsidRPr="00BA0E0F" w:rsidRDefault="00FB3D33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5"/>
            <w:vMerge/>
            <w:tcBorders>
              <w:bottom w:val="single" w:sz="4" w:space="0" w:color="auto"/>
            </w:tcBorders>
          </w:tcPr>
          <w:p w:rsidR="00FB3D33" w:rsidRPr="00BA0E0F" w:rsidRDefault="00FB3D33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7"/>
            <w:vMerge/>
            <w:tcBorders>
              <w:bottom w:val="single" w:sz="4" w:space="0" w:color="auto"/>
            </w:tcBorders>
          </w:tcPr>
          <w:p w:rsidR="00FB3D33" w:rsidRPr="00BA0E0F" w:rsidRDefault="00FB3D33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3" w:rsidRPr="00BA0E0F" w:rsidRDefault="000E054F" w:rsidP="000E05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Оказана</w:t>
            </w:r>
            <w:r w:rsidR="00FB3D33">
              <w:rPr>
                <w:rFonts w:ascii="Times New Roman" w:hAnsi="Times New Roman"/>
                <w:sz w:val="24"/>
                <w:szCs w:val="24"/>
              </w:rPr>
              <w:t xml:space="preserve">  методическая  и консультативная помощь </w:t>
            </w:r>
            <w:r w:rsidR="00EC5149">
              <w:rPr>
                <w:rFonts w:ascii="Times New Roman" w:hAnsi="Times New Roman"/>
                <w:sz w:val="24"/>
                <w:szCs w:val="24"/>
              </w:rPr>
              <w:t>двум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предпринимателям, оказывающим услуги в сфере</w:t>
            </w:r>
            <w:r w:rsidR="00FB3D33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</w:t>
            </w:r>
            <w:r w:rsidR="00E120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3" w:rsidRPr="006549CC" w:rsidRDefault="00FB3D33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</w:tr>
      <w:tr w:rsidR="00A75AF4" w:rsidRPr="00BA0E0F" w:rsidTr="00DB2585">
        <w:trPr>
          <w:gridAfter w:val="1"/>
          <w:wAfter w:w="90" w:type="dxa"/>
          <w:trHeight w:val="33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2C" w:rsidRPr="00BA0E0F" w:rsidRDefault="000F712C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2C" w:rsidRPr="00BA0E0F" w:rsidRDefault="000F712C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информированности орган</w:t>
            </w:r>
            <w:r w:rsidR="00FB3D33">
              <w:rPr>
                <w:rFonts w:ascii="Times New Roman" w:hAnsi="Times New Roman"/>
                <w:sz w:val="24"/>
                <w:szCs w:val="24"/>
              </w:rPr>
              <w:t>изаций, осуществляющих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мерах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12C" w:rsidRDefault="00FB3D33" w:rsidP="00FB3D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F712C">
              <w:rPr>
                <w:rFonts w:ascii="Times New Roman" w:hAnsi="Times New Roman"/>
                <w:sz w:val="24"/>
                <w:szCs w:val="24"/>
              </w:rPr>
              <w:t>-год</w:t>
            </w:r>
          </w:p>
        </w:tc>
        <w:tc>
          <w:tcPr>
            <w:tcW w:w="1456" w:type="dxa"/>
            <w:gridSpan w:val="2"/>
            <w:vMerge/>
          </w:tcPr>
          <w:p w:rsidR="000F712C" w:rsidRPr="00BA0E0F" w:rsidRDefault="000F712C" w:rsidP="00F51E12">
            <w:pPr>
              <w:jc w:val="center"/>
            </w:pPr>
          </w:p>
        </w:tc>
        <w:tc>
          <w:tcPr>
            <w:tcW w:w="1276" w:type="dxa"/>
            <w:vMerge/>
          </w:tcPr>
          <w:p w:rsidR="000F712C" w:rsidRPr="00BA0E0F" w:rsidRDefault="000F712C" w:rsidP="00F51E12">
            <w:pPr>
              <w:jc w:val="center"/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712C" w:rsidRPr="00BA0E0F" w:rsidRDefault="000F712C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2C" w:rsidRPr="00BA0E0F" w:rsidRDefault="000F712C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2C" w:rsidRPr="00BA0E0F" w:rsidRDefault="000F712C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2C" w:rsidRPr="00BA0E0F" w:rsidRDefault="00FB3D33" w:rsidP="00D625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</w:t>
            </w:r>
            <w:r w:rsidR="00D625A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="00D625A3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социальной поддержки не оказывались</w:t>
            </w:r>
            <w:r w:rsidR="00E120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2C" w:rsidRPr="006549CC" w:rsidRDefault="000F712C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</w:tr>
      <w:tr w:rsidR="00312E15" w:rsidRPr="00CD744B" w:rsidTr="00DB2585">
        <w:trPr>
          <w:gridAfter w:val="1"/>
          <w:wAfter w:w="90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85" w:rsidRDefault="00DB2585" w:rsidP="00F51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85" w:rsidRDefault="00DB2585" w:rsidP="00F51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15" w:rsidRPr="00CD744B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85" w:rsidRDefault="00DB2585" w:rsidP="00F51E12"/>
          <w:p w:rsidR="00DB2585" w:rsidRDefault="00DB2585" w:rsidP="00F51E12"/>
          <w:p w:rsidR="00312E15" w:rsidRPr="00CD744B" w:rsidRDefault="00312E15" w:rsidP="00F51E12">
            <w:r w:rsidRPr="00CD744B">
              <w:lastRenderedPageBreak/>
              <w:t>Оказание помощи в размещении в информационно-телекомму</w:t>
            </w:r>
            <w:r>
              <w:t>ни</w:t>
            </w:r>
            <w:r w:rsidRPr="00CD744B">
              <w:t>кационной сети Интернет</w:t>
            </w:r>
            <w:r>
              <w:t xml:space="preserve"> информации для потребителей о возможностях получения дополнительного образования в общедоступной системе «Навигатор»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585" w:rsidRDefault="00DB2585" w:rsidP="00FB3D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585" w:rsidRDefault="00DB2585" w:rsidP="00FB3D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E15" w:rsidRDefault="00312E15" w:rsidP="00FB3D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456" w:type="dxa"/>
            <w:gridSpan w:val="2"/>
            <w:vMerge/>
          </w:tcPr>
          <w:p w:rsidR="00312E15" w:rsidRPr="00CD744B" w:rsidRDefault="00312E15" w:rsidP="00F51E12">
            <w:pPr>
              <w:jc w:val="center"/>
            </w:pPr>
          </w:p>
        </w:tc>
        <w:tc>
          <w:tcPr>
            <w:tcW w:w="1276" w:type="dxa"/>
            <w:vMerge/>
          </w:tcPr>
          <w:p w:rsidR="00312E15" w:rsidRPr="00CD744B" w:rsidRDefault="00312E15" w:rsidP="00F51E12">
            <w:pPr>
              <w:jc w:val="center"/>
            </w:pPr>
          </w:p>
        </w:tc>
        <w:tc>
          <w:tcPr>
            <w:tcW w:w="776" w:type="dxa"/>
            <w:gridSpan w:val="2"/>
            <w:vMerge/>
            <w:tcBorders>
              <w:right w:val="single" w:sz="4" w:space="0" w:color="auto"/>
            </w:tcBorders>
          </w:tcPr>
          <w:p w:rsidR="00312E15" w:rsidRPr="00BA0E0F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E15" w:rsidRPr="00BA0E0F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E15" w:rsidRPr="00BA0E0F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85" w:rsidRDefault="00DB2585" w:rsidP="00DD556F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2585" w:rsidRDefault="00DB2585" w:rsidP="00DD556F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2E15" w:rsidRPr="00312E15" w:rsidRDefault="00312E15" w:rsidP="00DD556F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E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Система  «Навигатор» для потребителей услуги дополнительного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2020 году не функционировала</w:t>
            </w:r>
            <w:r w:rsidR="00E120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85" w:rsidRDefault="00DB258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585" w:rsidRDefault="00DB258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E15" w:rsidRPr="006549CC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уровня информированности организаций и населения</w:t>
            </w:r>
          </w:p>
        </w:tc>
      </w:tr>
      <w:tr w:rsidR="00312E15" w:rsidRPr="00BA0E0F" w:rsidTr="00DB2585">
        <w:trPr>
          <w:gridAfter w:val="1"/>
          <w:wAfter w:w="90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A0E0F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A0E0F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негосударственных организаций дополнительного образования в  конференциях, семинарах, мастер-классах по повышению качества образовательных услуг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15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56" w:type="dxa"/>
            <w:gridSpan w:val="2"/>
            <w:vMerge/>
          </w:tcPr>
          <w:p w:rsidR="00312E15" w:rsidRPr="00BA0E0F" w:rsidRDefault="00312E15" w:rsidP="00F51E12">
            <w:pPr>
              <w:jc w:val="center"/>
            </w:pPr>
          </w:p>
        </w:tc>
        <w:tc>
          <w:tcPr>
            <w:tcW w:w="1276" w:type="dxa"/>
            <w:vMerge/>
          </w:tcPr>
          <w:p w:rsidR="00312E15" w:rsidRPr="00BA0E0F" w:rsidRDefault="00312E15" w:rsidP="00F51E12">
            <w:pPr>
              <w:jc w:val="center"/>
            </w:pPr>
          </w:p>
        </w:tc>
        <w:tc>
          <w:tcPr>
            <w:tcW w:w="7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E15" w:rsidRPr="00BA0E0F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A0E0F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A0E0F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312E15" w:rsidRDefault="00312E15" w:rsidP="00D625A3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E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связи с профилактическими мерами по предотвращению распространения </w:t>
            </w:r>
            <w:proofErr w:type="spellStart"/>
            <w:r w:rsidRPr="00312E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312E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инфекции  предприниматели на  семинары, конференции  по повышению качества образования, организуемых управлением образования в 2020 г. не приглашались</w:t>
            </w:r>
            <w:r w:rsidR="00E120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6549CC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</w:tr>
      <w:tr w:rsidR="00312E15" w:rsidTr="00DB2585">
        <w:trPr>
          <w:gridAfter w:val="1"/>
          <w:wAfter w:w="90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01FAA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01FAA" w:rsidRDefault="00312E15" w:rsidP="00F51E12">
            <w:proofErr w:type="gramStart"/>
            <w:r>
              <w:t xml:space="preserve"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</w:t>
            </w:r>
            <w:r>
              <w:lastRenderedPageBreak/>
              <w:t>образования по дополнительным общеобразовательным программам для детей и молодёжи в возрасте от 5 до 18 лет, проживающих на территории городского округа Спасск-Дальний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15" w:rsidRDefault="00312E15" w:rsidP="0017034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456" w:type="dxa"/>
            <w:gridSpan w:val="2"/>
            <w:vMerge/>
            <w:tcBorders>
              <w:bottom w:val="single" w:sz="4" w:space="0" w:color="auto"/>
            </w:tcBorders>
          </w:tcPr>
          <w:p w:rsidR="00312E15" w:rsidRPr="00B01FAA" w:rsidRDefault="00312E15" w:rsidP="00F51E12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2E15" w:rsidRPr="00B01FAA" w:rsidRDefault="00312E15" w:rsidP="00F51E12">
            <w:pPr>
              <w:jc w:val="center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A0E0F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A0E0F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A0E0F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A0E0F" w:rsidRDefault="00312E15" w:rsidP="00CC306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ИП, предлагающие услуги в сфере дополнительного  образования, не предоставили данные для включения в реестр</w:t>
            </w:r>
            <w:r w:rsidR="00E120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6549CC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организаций и населения, расширение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круга потребителей организаций частной формы собственности</w:t>
            </w:r>
            <w:proofErr w:type="gramEnd"/>
          </w:p>
        </w:tc>
      </w:tr>
      <w:tr w:rsidR="00312E15" w:rsidRPr="00BA0E0F" w:rsidTr="00DA3CB7">
        <w:trPr>
          <w:gridAfter w:val="1"/>
          <w:wAfter w:w="90" w:type="dxa"/>
        </w:trPr>
        <w:tc>
          <w:tcPr>
            <w:tcW w:w="15683" w:type="dxa"/>
            <w:gridSpan w:val="25"/>
            <w:tcBorders>
              <w:top w:val="single" w:sz="4" w:space="0" w:color="auto"/>
            </w:tcBorders>
          </w:tcPr>
          <w:p w:rsidR="00312E15" w:rsidRDefault="00312E15" w:rsidP="00F51E1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>2</w:t>
            </w:r>
            <w:r w:rsidRPr="00D82A67">
              <w:rPr>
                <w:b/>
              </w:rPr>
              <w:t>. Рынок психолого-педагогического сопровождения детей с ограниченными возможностями здоровья</w:t>
            </w:r>
          </w:p>
        </w:tc>
      </w:tr>
      <w:tr w:rsidR="00312E15" w:rsidRPr="00A56E73" w:rsidTr="00DA3CB7">
        <w:trPr>
          <w:gridAfter w:val="1"/>
          <w:wAfter w:w="90" w:type="dxa"/>
        </w:trPr>
        <w:tc>
          <w:tcPr>
            <w:tcW w:w="15683" w:type="dxa"/>
            <w:gridSpan w:val="25"/>
          </w:tcPr>
          <w:p w:rsidR="00312E15" w:rsidRPr="00CA0D55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информацией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Межрайонной</w:t>
            </w:r>
            <w:r w:rsidRPr="00CC178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Приморскому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D55">
              <w:rPr>
                <w:rFonts w:ascii="Times New Roman" w:hAnsi="Times New Roman" w:cs="Times New Roman"/>
                <w:sz w:val="24"/>
                <w:szCs w:val="24"/>
              </w:rPr>
              <w:t>вид деятельности «Психолого-педагогического сопровождения детей с ограниченными возможностями здоровья» в Общероссийском классификаторе видов экономической деятельности ОК 029-2014 (КДЕС РЕД. 2) отсутствует.</w:t>
            </w:r>
          </w:p>
          <w:p w:rsidR="00312E15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настоящее время на территории городского округа Спасск-Дальний организации частной формы собственности с видом деятельности по психолого-педагогическому сопровождению детей с ограниченными возможностями здоровья отсутствуют.</w:t>
            </w:r>
          </w:p>
          <w:p w:rsidR="00312E15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опроса родителей (законных представителей) детей население пользуется услугами не менее чем четырёх частных логопедических кабинетов. Получение лицензии на данный вид деятельности не требуется.</w:t>
            </w:r>
          </w:p>
          <w:p w:rsidR="00312E15" w:rsidRPr="001B4567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этих условиях основными задачами </w:t>
            </w:r>
            <w:r w:rsidRPr="008C17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является содействие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индивидуальным предпринимателям в сфере психолого-педагогического сопровождения детей с ограниченными возможностями здоровья (логопеды).</w:t>
            </w:r>
          </w:p>
        </w:tc>
      </w:tr>
      <w:tr w:rsidR="00312E15" w:rsidRPr="00BA0E0F" w:rsidTr="00DA3CB7">
        <w:trPr>
          <w:gridAfter w:val="1"/>
          <w:wAfter w:w="90" w:type="dxa"/>
        </w:trPr>
        <w:tc>
          <w:tcPr>
            <w:tcW w:w="623" w:type="dxa"/>
          </w:tcPr>
          <w:p w:rsidR="00312E15" w:rsidRPr="00BA0E0F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93" w:type="dxa"/>
          </w:tcPr>
          <w:p w:rsidR="00312E15" w:rsidRPr="00BA0E0F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и консультативной помощи индивидуальным предпринимателям в сфере психолого-педагогического сопровождения детей с ограниченными возможностями здоровья (логопеды)</w:t>
            </w:r>
            <w:bookmarkStart w:id="0" w:name="_GoBack"/>
            <w:bookmarkEnd w:id="0"/>
          </w:p>
        </w:tc>
        <w:tc>
          <w:tcPr>
            <w:tcW w:w="993" w:type="dxa"/>
            <w:gridSpan w:val="2"/>
          </w:tcPr>
          <w:p w:rsidR="00312E15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312E15" w:rsidRPr="00BA0E0F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услуг психолого-педагогического сопровождения детей с ограниченными </w:t>
            </w: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</w:t>
            </w:r>
          </w:p>
        </w:tc>
        <w:tc>
          <w:tcPr>
            <w:tcW w:w="1276" w:type="dxa"/>
          </w:tcPr>
          <w:p w:rsidR="00312E15" w:rsidRPr="00BA0E0F" w:rsidRDefault="00312E15" w:rsidP="00F51E12">
            <w:pPr>
              <w:jc w:val="center"/>
            </w:pPr>
            <w:r>
              <w:lastRenderedPageBreak/>
              <w:t>проценты</w:t>
            </w:r>
          </w:p>
        </w:tc>
        <w:tc>
          <w:tcPr>
            <w:tcW w:w="776" w:type="dxa"/>
            <w:gridSpan w:val="2"/>
          </w:tcPr>
          <w:p w:rsidR="00312E15" w:rsidRPr="00BA0E0F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gridSpan w:val="5"/>
          </w:tcPr>
          <w:p w:rsidR="00312E15" w:rsidRPr="00BA0E0F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5" w:type="dxa"/>
            <w:gridSpan w:val="6"/>
          </w:tcPr>
          <w:p w:rsidR="00312E15" w:rsidRPr="00BA0E0F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100/100</w:t>
            </w:r>
          </w:p>
        </w:tc>
        <w:tc>
          <w:tcPr>
            <w:tcW w:w="3338" w:type="dxa"/>
            <w:gridSpan w:val="2"/>
          </w:tcPr>
          <w:p w:rsidR="00312E15" w:rsidRPr="00A05DDC" w:rsidRDefault="00A05DDC" w:rsidP="00A05DDC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D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о возможности</w:t>
            </w:r>
            <w:r w:rsidR="00312E15" w:rsidRPr="00A05D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участи</w:t>
            </w:r>
            <w:r w:rsidRPr="00A05D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312E15" w:rsidRPr="00A05D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и</w:t>
            </w:r>
            <w:r w:rsidRPr="00A05D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ндивидуальных предпринимателей в</w:t>
            </w:r>
            <w:r w:rsidR="00312E15" w:rsidRPr="00A05D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работе стажерской площадки «Работа с детьми с нарушениями речи», участие в работе </w:t>
            </w:r>
            <w:r w:rsidRPr="00A05D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территориальной </w:t>
            </w:r>
            <w:proofErr w:type="spellStart"/>
            <w:r w:rsidRPr="00A05D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медик</w:t>
            </w:r>
            <w:proofErr w:type="gramStart"/>
            <w:r w:rsidRPr="00A05D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A05D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A05D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5D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психолого</w:t>
            </w:r>
            <w:proofErr w:type="spellEnd"/>
            <w:r w:rsidRPr="00A05D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педагогической комиссии (</w:t>
            </w:r>
            <w:r w:rsidR="00312E15" w:rsidRPr="00A05D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ТПМПК</w:t>
            </w:r>
            <w:r w:rsidRPr="00A05D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47" w:type="dxa"/>
            <w:gridSpan w:val="4"/>
          </w:tcPr>
          <w:p w:rsidR="00312E15" w:rsidRDefault="00312E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организаций и населения, расширение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круга потребителей организаций частной формы собственности</w:t>
            </w:r>
            <w:proofErr w:type="gramEnd"/>
          </w:p>
        </w:tc>
      </w:tr>
      <w:tr w:rsidR="00312E15" w:rsidRPr="00697D14" w:rsidTr="00DA3CB7">
        <w:trPr>
          <w:gridAfter w:val="1"/>
          <w:wAfter w:w="90" w:type="dxa"/>
        </w:trPr>
        <w:tc>
          <w:tcPr>
            <w:tcW w:w="15683" w:type="dxa"/>
            <w:gridSpan w:val="25"/>
          </w:tcPr>
          <w:p w:rsidR="00312E15" w:rsidRPr="00697D14" w:rsidRDefault="00312E15" w:rsidP="00371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682CCB">
              <w:rPr>
                <w:b/>
              </w:rPr>
              <w:t>. Сфера наружной рекламы</w:t>
            </w:r>
          </w:p>
        </w:tc>
      </w:tr>
      <w:tr w:rsidR="00312E15" w:rsidTr="00DA3CB7">
        <w:trPr>
          <w:gridAfter w:val="1"/>
          <w:wAfter w:w="90" w:type="dxa"/>
        </w:trPr>
        <w:tc>
          <w:tcPr>
            <w:tcW w:w="15683" w:type="dxa"/>
            <w:gridSpan w:val="25"/>
          </w:tcPr>
          <w:p w:rsidR="00312E15" w:rsidRDefault="00312E15" w:rsidP="00B1540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CCB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Спасск-Дальний отсутствуют учреждения и другие предприятия с государственным участием, осуществляющие хозяйственную деятельность на рынке услуг в сфере наружной рекламы, Доля частных хозяйствующих субъектов, осуществляющих свою деятельность на рынке услуг в сфере наружной рекламы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CCB">
              <w:rPr>
                <w:rFonts w:ascii="Times New Roman" w:hAnsi="Times New Roman" w:cs="Times New Roman"/>
                <w:sz w:val="24"/>
                <w:szCs w:val="24"/>
              </w:rPr>
              <w:t>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  <w:proofErr w:type="gramEnd"/>
            <w:r w:rsidRPr="00682CCB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заключено 3 договора на установку и эксплуатацию рекламных конструкций (</w:t>
            </w:r>
            <w:proofErr w:type="spellStart"/>
            <w:r w:rsidRPr="00682CCB">
              <w:rPr>
                <w:rFonts w:ascii="Times New Roman" w:hAnsi="Times New Roman" w:cs="Times New Roman"/>
                <w:sz w:val="24"/>
                <w:szCs w:val="24"/>
              </w:rPr>
              <w:t>штен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CCB">
              <w:rPr>
                <w:rFonts w:ascii="Times New Roman" w:hAnsi="Times New Roman" w:cs="Times New Roman"/>
                <w:sz w:val="24"/>
                <w:szCs w:val="24"/>
              </w:rPr>
              <w:t>еры</w:t>
            </w:r>
            <w:proofErr w:type="spellEnd"/>
            <w:r w:rsidRPr="00682CCB">
              <w:rPr>
                <w:rFonts w:ascii="Times New Roman" w:hAnsi="Times New Roman" w:cs="Times New Roman"/>
                <w:sz w:val="24"/>
                <w:szCs w:val="24"/>
              </w:rPr>
              <w:t>). Планируется проведение открытых аукционов на право установки и эксплуатации рекламных конструкций после утверждения схем на их размещение в соответствии с  законодательством.</w:t>
            </w:r>
          </w:p>
        </w:tc>
      </w:tr>
      <w:tr w:rsidR="00312E15" w:rsidTr="00DA3CB7">
        <w:trPr>
          <w:gridAfter w:val="1"/>
          <w:wAfter w:w="90" w:type="dxa"/>
        </w:trPr>
        <w:tc>
          <w:tcPr>
            <w:tcW w:w="623" w:type="dxa"/>
            <w:tcBorders>
              <w:bottom w:val="single" w:sz="4" w:space="0" w:color="auto"/>
            </w:tcBorders>
          </w:tcPr>
          <w:p w:rsidR="00312E15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2E15" w:rsidRPr="00AB6F46" w:rsidRDefault="00312E15">
            <w:pPr>
              <w:rPr>
                <w:color w:val="000000"/>
              </w:rPr>
            </w:pPr>
            <w:r w:rsidRPr="00AB6F46">
              <w:rPr>
                <w:color w:val="000000"/>
              </w:rPr>
              <w:t>Разработка и утверждение схем размещения рекламных конструкций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12E15" w:rsidRPr="00AB6F46" w:rsidRDefault="00312E15" w:rsidP="001F558D">
            <w:pPr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417" w:type="dxa"/>
            <w:vMerge w:val="restart"/>
          </w:tcPr>
          <w:p w:rsidR="00312E15" w:rsidRPr="00AB6F46" w:rsidRDefault="00312E15">
            <w:pPr>
              <w:jc w:val="center"/>
              <w:rPr>
                <w:color w:val="000000"/>
              </w:rPr>
            </w:pPr>
            <w:r w:rsidRPr="00AB6F46">
              <w:rPr>
                <w:color w:val="000000"/>
              </w:rPr>
              <w:t xml:space="preserve">доля организаций частной формы собственности в сфере наружной рекламы </w:t>
            </w:r>
          </w:p>
        </w:tc>
        <w:tc>
          <w:tcPr>
            <w:tcW w:w="1352" w:type="dxa"/>
            <w:gridSpan w:val="2"/>
            <w:vMerge w:val="restart"/>
          </w:tcPr>
          <w:p w:rsidR="00312E15" w:rsidRPr="00AB6F46" w:rsidRDefault="00312E15" w:rsidP="00371D71">
            <w:pPr>
              <w:jc w:val="center"/>
            </w:pPr>
            <w:r w:rsidRPr="00AB6F46">
              <w:t>проценты</w:t>
            </w:r>
          </w:p>
        </w:tc>
        <w:tc>
          <w:tcPr>
            <w:tcW w:w="700" w:type="dxa"/>
            <w:vMerge w:val="restart"/>
          </w:tcPr>
          <w:p w:rsidR="00312E15" w:rsidRPr="00AB6F46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gridSpan w:val="3"/>
            <w:vMerge w:val="restart"/>
          </w:tcPr>
          <w:p w:rsidR="00312E15" w:rsidRPr="00AB6F46" w:rsidRDefault="00312E15" w:rsidP="00682C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  <w:gridSpan w:val="7"/>
            <w:vMerge w:val="restart"/>
          </w:tcPr>
          <w:p w:rsidR="00312E15" w:rsidRPr="00AB6F46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100/100</w:t>
            </w:r>
          </w:p>
        </w:tc>
        <w:tc>
          <w:tcPr>
            <w:tcW w:w="3478" w:type="dxa"/>
            <w:gridSpan w:val="3"/>
            <w:tcBorders>
              <w:bottom w:val="single" w:sz="4" w:space="0" w:color="auto"/>
            </w:tcBorders>
          </w:tcPr>
          <w:p w:rsidR="00312E15" w:rsidRPr="00AB6F46" w:rsidRDefault="00312E15" w:rsidP="003A2AB6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городского округа Спасск-Дальний от 19.11.2019 г. № 481-па «Об утверждении схемы размещения рекламных конструкций на территории городского округа Спасск-Дальний</w:t>
            </w:r>
            <w:r w:rsidR="00E120F4">
              <w:rPr>
                <w:color w:val="000000"/>
              </w:rPr>
              <w:t>.</w:t>
            </w:r>
          </w:p>
        </w:tc>
        <w:tc>
          <w:tcPr>
            <w:tcW w:w="2547" w:type="dxa"/>
            <w:gridSpan w:val="4"/>
            <w:tcBorders>
              <w:bottom w:val="single" w:sz="4" w:space="0" w:color="auto"/>
            </w:tcBorders>
          </w:tcPr>
          <w:p w:rsidR="00312E15" w:rsidRPr="00AB6F46" w:rsidRDefault="00312E15">
            <w:pPr>
              <w:rPr>
                <w:color w:val="000000"/>
              </w:rPr>
            </w:pPr>
            <w:r w:rsidRPr="00AB6F46">
              <w:rPr>
                <w:color w:val="000000"/>
              </w:rPr>
              <w:t xml:space="preserve">Обеспечен </w:t>
            </w:r>
            <w:r>
              <w:rPr>
                <w:color w:val="000000"/>
              </w:rPr>
              <w:t xml:space="preserve"> </w:t>
            </w:r>
            <w:r w:rsidRPr="00AB6F46">
              <w:rPr>
                <w:color w:val="000000"/>
              </w:rPr>
              <w:t>о</w:t>
            </w:r>
            <w:r>
              <w:rPr>
                <w:color w:val="000000"/>
              </w:rPr>
              <w:t>т</w:t>
            </w:r>
            <w:r w:rsidRPr="00AB6F46">
              <w:rPr>
                <w:color w:val="000000"/>
              </w:rPr>
              <w:t>крытый доступ для хозяйствующих субъектов, актуальная информация схем размещения рекламных конструкций</w:t>
            </w:r>
          </w:p>
        </w:tc>
      </w:tr>
      <w:tr w:rsidR="00312E15" w:rsidRPr="006549CC" w:rsidTr="00DA3CB7">
        <w:trPr>
          <w:gridAfter w:val="1"/>
          <w:wAfter w:w="90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A0E0F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AB6F46" w:rsidRDefault="00312E15">
            <w:pPr>
              <w:rPr>
                <w:color w:val="000000"/>
              </w:rPr>
            </w:pPr>
            <w:r w:rsidRPr="00AB6F46">
              <w:rPr>
                <w:color w:val="000000"/>
              </w:rPr>
              <w:t>Размещение на официальном сайте перечня всех НПА, регулирующих сферы наружной рекламы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15" w:rsidRPr="00AB6F46" w:rsidRDefault="00312E15">
            <w:pPr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417" w:type="dxa"/>
            <w:vMerge/>
            <w:vAlign w:val="center"/>
          </w:tcPr>
          <w:p w:rsidR="00312E15" w:rsidRPr="00AB6F46" w:rsidRDefault="00312E15" w:rsidP="00371D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/>
          </w:tcPr>
          <w:p w:rsidR="00312E15" w:rsidRPr="00AB6F46" w:rsidRDefault="00312E15" w:rsidP="00371D71">
            <w:pPr>
              <w:jc w:val="center"/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312E15" w:rsidRPr="00AB6F46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vMerge/>
            <w:tcBorders>
              <w:bottom w:val="single" w:sz="4" w:space="0" w:color="auto"/>
            </w:tcBorders>
          </w:tcPr>
          <w:p w:rsidR="00312E15" w:rsidRPr="00AB6F46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7"/>
            <w:vMerge/>
            <w:tcBorders>
              <w:bottom w:val="single" w:sz="4" w:space="0" w:color="auto"/>
            </w:tcBorders>
          </w:tcPr>
          <w:p w:rsidR="00312E15" w:rsidRPr="00AB6F46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Default="00312E15" w:rsidP="00C439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обеспечения открытого доступа для повышения уровня информированности организаций и индивидуальных предпринимателей в сфере наружной рекламы на официальном сайте городского округа Спасск-Дальний в сети Интернет размещены НПА, регулирующие сферу наружной рекламы:</w:t>
            </w:r>
          </w:p>
          <w:p w:rsidR="00312E15" w:rsidRDefault="00312E15" w:rsidP="00C4398B">
            <w:pPr>
              <w:numPr>
                <w:ilvl w:val="0"/>
                <w:numId w:val="12"/>
              </w:numPr>
              <w:suppressAutoHyphens/>
              <w:ind w:left="0"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Решение Думы городского округа Спасск-Дальний от 29.01.2020 № 2-НПА «Об установлении формы проведения торгов на право заключения договора на установку и эксплуатацию </w:t>
            </w:r>
            <w:r w:rsidRPr="00861DFB">
              <w:rPr>
                <w:sz w:val="26"/>
                <w:szCs w:val="26"/>
              </w:rPr>
              <w:t>рекламной</w:t>
            </w:r>
            <w:r>
              <w:rPr>
                <w:sz w:val="26"/>
                <w:szCs w:val="26"/>
              </w:rPr>
              <w:t xml:space="preserve"> конструкции на </w:t>
            </w:r>
            <w:r w:rsidRPr="00861DFB">
              <w:rPr>
                <w:sz w:val="26"/>
                <w:szCs w:val="26"/>
              </w:rPr>
              <w:t>земельном участке, здании или ином недвижимом</w:t>
            </w:r>
            <w:r>
              <w:rPr>
                <w:sz w:val="26"/>
                <w:szCs w:val="26"/>
              </w:rPr>
              <w:t xml:space="preserve"> </w:t>
            </w:r>
            <w:r w:rsidRPr="00861DFB">
              <w:rPr>
                <w:sz w:val="26"/>
                <w:szCs w:val="26"/>
              </w:rPr>
              <w:t>имуществе, находящихся в муниципальной собственности городского</w:t>
            </w:r>
            <w:r>
              <w:rPr>
                <w:sz w:val="26"/>
                <w:szCs w:val="26"/>
              </w:rPr>
              <w:t xml:space="preserve"> </w:t>
            </w:r>
            <w:r w:rsidRPr="00861DFB">
              <w:rPr>
                <w:sz w:val="26"/>
                <w:szCs w:val="26"/>
              </w:rPr>
              <w:t>округа Спасск-Дальний, а также на земельных участках, государственная собственность на которые не разграничена</w:t>
            </w:r>
            <w:r>
              <w:rPr>
                <w:sz w:val="26"/>
                <w:szCs w:val="26"/>
              </w:rPr>
              <w:t>».</w:t>
            </w:r>
          </w:p>
          <w:p w:rsidR="00312E15" w:rsidRPr="00861DFB" w:rsidRDefault="00312E15" w:rsidP="00C4398B">
            <w:pPr>
              <w:numPr>
                <w:ilvl w:val="0"/>
                <w:numId w:val="12"/>
              </w:numPr>
              <w:suppressAutoHyphens/>
              <w:ind w:left="0" w:firstLine="0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Постановление Администрации городского округа Спасск-Дальний от 24.03.2020 г. № 132-па «Об утверждении порядка</w:t>
            </w:r>
            <w:r w:rsidRPr="00861DFB">
              <w:rPr>
                <w:sz w:val="26"/>
                <w:szCs w:val="26"/>
              </w:rPr>
              <w:t xml:space="preserve"> организации и проведения аукциона</w:t>
            </w:r>
            <w:r>
              <w:rPr>
                <w:sz w:val="26"/>
                <w:szCs w:val="26"/>
              </w:rPr>
              <w:t xml:space="preserve"> </w:t>
            </w:r>
            <w:r w:rsidRPr="00861DFB">
              <w:rPr>
                <w:sz w:val="26"/>
                <w:szCs w:val="26"/>
              </w:rPr>
              <w:t>на право заключения договора на установку и эксплуатацию рекламной</w:t>
            </w:r>
            <w:r>
              <w:rPr>
                <w:sz w:val="26"/>
                <w:szCs w:val="26"/>
              </w:rPr>
              <w:t xml:space="preserve"> к</w:t>
            </w:r>
            <w:r w:rsidRPr="00861DFB">
              <w:rPr>
                <w:sz w:val="26"/>
                <w:szCs w:val="26"/>
              </w:rPr>
              <w:t>онструкции на  земельном участке, здании или ином недвижимом</w:t>
            </w:r>
            <w:r>
              <w:rPr>
                <w:sz w:val="26"/>
                <w:szCs w:val="26"/>
              </w:rPr>
              <w:t xml:space="preserve"> </w:t>
            </w:r>
            <w:r w:rsidRPr="00861DFB">
              <w:rPr>
                <w:sz w:val="26"/>
                <w:szCs w:val="26"/>
              </w:rPr>
              <w:t>имуществе, находящихся в муниципальной собственности городского</w:t>
            </w:r>
            <w:r>
              <w:rPr>
                <w:sz w:val="26"/>
                <w:szCs w:val="26"/>
              </w:rPr>
              <w:t xml:space="preserve"> </w:t>
            </w:r>
            <w:r w:rsidRPr="00861DFB">
              <w:rPr>
                <w:sz w:val="26"/>
                <w:szCs w:val="26"/>
              </w:rPr>
              <w:t xml:space="preserve">округа Спасск-Дальний, а </w:t>
            </w:r>
            <w:r w:rsidRPr="00861DFB">
              <w:rPr>
                <w:sz w:val="26"/>
                <w:szCs w:val="26"/>
              </w:rPr>
              <w:lastRenderedPageBreak/>
              <w:t>также на земельных участках, государственная собственность на которые не разграничена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312E15" w:rsidRDefault="00312E15" w:rsidP="00C4398B">
            <w:pPr>
              <w:numPr>
                <w:ilvl w:val="0"/>
                <w:numId w:val="12"/>
              </w:numPr>
              <w:suppressAutoHyphens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городского округа Спасск-Дальний от 30.10.2017 г. № 501-па 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конструкций, аннулирование таких разрешений».</w:t>
            </w:r>
          </w:p>
          <w:p w:rsidR="00312E15" w:rsidRPr="00A84B86" w:rsidRDefault="00312E15" w:rsidP="00C4398B">
            <w:pPr>
              <w:numPr>
                <w:ilvl w:val="0"/>
                <w:numId w:val="12"/>
              </w:numPr>
              <w:suppressAutoHyphens/>
              <w:ind w:left="-6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городского округа Спасск-Дальний от 19.11.2019 г. № 481-па «Об утверждении схемы размещения рекламных конструкций на территории городского округа Спасск-Дальний».</w:t>
            </w:r>
          </w:p>
          <w:p w:rsidR="00312E15" w:rsidRPr="003A2AB6" w:rsidRDefault="00312E15" w:rsidP="00C4398B">
            <w:pPr>
              <w:rPr>
                <w:color w:val="000000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AB6F46" w:rsidRDefault="00312E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AB6F46">
              <w:rPr>
                <w:color w:val="000000"/>
              </w:rPr>
              <w:t xml:space="preserve">беспечен </w:t>
            </w:r>
            <w:r>
              <w:rPr>
                <w:color w:val="000000"/>
              </w:rPr>
              <w:t xml:space="preserve"> </w:t>
            </w:r>
            <w:r w:rsidRPr="00AB6F46">
              <w:rPr>
                <w:color w:val="000000"/>
              </w:rPr>
              <w:t>о</w:t>
            </w:r>
            <w:r>
              <w:rPr>
                <w:color w:val="000000"/>
              </w:rPr>
              <w:t>т</w:t>
            </w:r>
            <w:r w:rsidRPr="00AB6F46">
              <w:rPr>
                <w:color w:val="000000"/>
              </w:rPr>
              <w:t>крытый доступ для повышения уровня информированности организаций и индивидуальных предпринимателей</w:t>
            </w:r>
          </w:p>
        </w:tc>
      </w:tr>
      <w:tr w:rsidR="00312E15" w:rsidRPr="006549CC" w:rsidTr="00DA3CB7">
        <w:trPr>
          <w:gridAfter w:val="1"/>
          <w:wAfter w:w="90" w:type="dxa"/>
          <w:trHeight w:val="33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A0E0F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AB6F46" w:rsidRDefault="00312E15" w:rsidP="001F558D">
            <w:pPr>
              <w:rPr>
                <w:color w:val="000000"/>
              </w:rPr>
            </w:pPr>
            <w:r w:rsidRPr="00AB6F46">
              <w:rPr>
                <w:color w:val="000000"/>
              </w:rPr>
              <w:t xml:space="preserve">Соблюдение принципов открытости и прозрачности при проведении торгов на право установки и эксплуатации </w:t>
            </w:r>
            <w:r w:rsidRPr="00AB6F46">
              <w:rPr>
                <w:color w:val="000000"/>
              </w:rPr>
              <w:lastRenderedPageBreak/>
              <w:t>рекламных конструкций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15" w:rsidRPr="00AB6F46" w:rsidRDefault="00312E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2020 год</w:t>
            </w:r>
          </w:p>
        </w:tc>
        <w:tc>
          <w:tcPr>
            <w:tcW w:w="1417" w:type="dxa"/>
            <w:vMerge/>
            <w:vAlign w:val="center"/>
          </w:tcPr>
          <w:p w:rsidR="00312E15" w:rsidRPr="00AB6F46" w:rsidRDefault="00312E15" w:rsidP="00371D71">
            <w:pPr>
              <w:jc w:val="center"/>
            </w:pPr>
          </w:p>
        </w:tc>
        <w:tc>
          <w:tcPr>
            <w:tcW w:w="1352" w:type="dxa"/>
            <w:gridSpan w:val="2"/>
            <w:vMerge/>
          </w:tcPr>
          <w:p w:rsidR="00312E15" w:rsidRPr="00AB6F46" w:rsidRDefault="00312E15" w:rsidP="00371D71">
            <w:pPr>
              <w:jc w:val="center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2E15" w:rsidRPr="00AB6F46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E15" w:rsidRPr="00AB6F46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E15" w:rsidRPr="00AB6F46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8F0543" w:rsidRDefault="00312E15" w:rsidP="007A6C80">
            <w:pPr>
              <w:ind w:firstLine="720"/>
              <w:jc w:val="both"/>
              <w:rPr>
                <w:sz w:val="26"/>
                <w:szCs w:val="26"/>
              </w:rPr>
            </w:pPr>
            <w:r w:rsidRPr="008F0543">
              <w:rPr>
                <w:sz w:val="26"/>
                <w:szCs w:val="26"/>
              </w:rPr>
              <w:t>В 2020</w:t>
            </w:r>
            <w:r>
              <w:rPr>
                <w:sz w:val="26"/>
                <w:szCs w:val="26"/>
              </w:rPr>
              <w:t xml:space="preserve"> году</w:t>
            </w:r>
            <w:r w:rsidRPr="008F0543">
              <w:rPr>
                <w:sz w:val="26"/>
                <w:szCs w:val="26"/>
              </w:rPr>
              <w:t xml:space="preserve"> объявлено о проведении </w:t>
            </w:r>
            <w:r>
              <w:rPr>
                <w:sz w:val="26"/>
                <w:szCs w:val="26"/>
              </w:rPr>
              <w:t>7</w:t>
            </w:r>
            <w:r w:rsidRPr="008F0543">
              <w:rPr>
                <w:sz w:val="26"/>
                <w:szCs w:val="26"/>
              </w:rPr>
              <w:t xml:space="preserve"> аукционов на право заключения договоров на установку и эксплуатацию 31 рекламной конструкции на территории городского </w:t>
            </w:r>
            <w:r w:rsidRPr="008F0543">
              <w:rPr>
                <w:sz w:val="26"/>
                <w:szCs w:val="26"/>
              </w:rPr>
              <w:lastRenderedPageBreak/>
              <w:t xml:space="preserve">округа Спасск-Дальний.  </w:t>
            </w:r>
          </w:p>
          <w:p w:rsidR="00312E15" w:rsidRPr="003A2AB6" w:rsidRDefault="00312E15" w:rsidP="003A2AB6"/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AB6F46" w:rsidRDefault="00312E15">
            <w:pPr>
              <w:rPr>
                <w:color w:val="000000"/>
              </w:rPr>
            </w:pPr>
            <w:r w:rsidRPr="00AB6F46">
              <w:rPr>
                <w:color w:val="000000"/>
              </w:rPr>
              <w:lastRenderedPageBreak/>
              <w:t>Повышение конкуренции и качества услуг</w:t>
            </w:r>
          </w:p>
        </w:tc>
      </w:tr>
      <w:tr w:rsidR="00312E15" w:rsidRPr="006549CC" w:rsidTr="00DA3CB7">
        <w:trPr>
          <w:gridAfter w:val="1"/>
          <w:wAfter w:w="90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CD744B" w:rsidRDefault="00312E15" w:rsidP="00682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AB6F46" w:rsidRDefault="00312E15">
            <w:pPr>
              <w:rPr>
                <w:color w:val="000000"/>
              </w:rPr>
            </w:pPr>
            <w:r>
              <w:rPr>
                <w:color w:val="000000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15" w:rsidRPr="00AB6F46" w:rsidRDefault="00312E15" w:rsidP="00371D71">
            <w:pPr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417" w:type="dxa"/>
            <w:vMerge/>
            <w:vAlign w:val="center"/>
          </w:tcPr>
          <w:p w:rsidR="00312E15" w:rsidRPr="00AB6F46" w:rsidRDefault="00312E15" w:rsidP="00371D71">
            <w:pPr>
              <w:jc w:val="center"/>
            </w:pPr>
          </w:p>
        </w:tc>
        <w:tc>
          <w:tcPr>
            <w:tcW w:w="1352" w:type="dxa"/>
            <w:gridSpan w:val="2"/>
            <w:vMerge/>
          </w:tcPr>
          <w:p w:rsidR="00312E15" w:rsidRPr="00AB6F46" w:rsidRDefault="00312E15" w:rsidP="00371D71">
            <w:pPr>
              <w:jc w:val="center"/>
            </w:pPr>
          </w:p>
        </w:tc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E15" w:rsidRPr="00AB6F46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AB6F46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AB6F46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Default="00312E15" w:rsidP="007A6C80">
            <w:pPr>
              <w:ind w:firstLine="720"/>
              <w:jc w:val="both"/>
              <w:rPr>
                <w:sz w:val="26"/>
                <w:szCs w:val="26"/>
              </w:rPr>
            </w:pPr>
            <w:r w:rsidRPr="00234496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2020 году</w:t>
            </w:r>
            <w:r w:rsidRPr="00234496">
              <w:rPr>
                <w:sz w:val="26"/>
                <w:szCs w:val="26"/>
              </w:rPr>
              <w:t xml:space="preserve"> управлением земельных и имущественных отношений </w:t>
            </w:r>
            <w:r>
              <w:rPr>
                <w:sz w:val="26"/>
                <w:szCs w:val="26"/>
              </w:rPr>
              <w:t>выявлена одна незаконно размещенная рекламная конструкция</w:t>
            </w:r>
            <w:r w:rsidRPr="0023449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владельцу конструкции - ООО СЛПК-ГРУПП направлено предупреждение о необходимости демонтировать незаконно размещенную рекламную конструкцию либо оформить соответствующее разрешение</w:t>
            </w:r>
            <w:r w:rsidRPr="0023449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Всего в 2020 году Администрацией выдано 36 разрешений на установку и размещение рекламных конструкций на территории городского округа Спасск-Дальний.</w:t>
            </w:r>
          </w:p>
          <w:p w:rsidR="00312E15" w:rsidRDefault="00312E15" w:rsidP="007A6C80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312E15" w:rsidRPr="00AB6F46" w:rsidRDefault="00312E15" w:rsidP="00815A81">
            <w:pPr>
              <w:rPr>
                <w:color w:val="000000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AB6F46" w:rsidRDefault="00312E15">
            <w:pPr>
              <w:rPr>
                <w:color w:val="000000"/>
              </w:rPr>
            </w:pPr>
            <w:r>
              <w:rPr>
                <w:color w:val="000000"/>
              </w:rPr>
              <w:t>Получение разрешений на размещение рекламы в соответствии со схемой размещения рекламных конструкций</w:t>
            </w:r>
            <w:r w:rsidRPr="00AB6F46">
              <w:rPr>
                <w:color w:val="000000"/>
              </w:rPr>
              <w:t xml:space="preserve"> </w:t>
            </w:r>
          </w:p>
        </w:tc>
      </w:tr>
      <w:tr w:rsidR="00312E15" w:rsidRPr="00697D14" w:rsidTr="00DA3CB7">
        <w:trPr>
          <w:gridAfter w:val="1"/>
          <w:wAfter w:w="90" w:type="dxa"/>
        </w:trPr>
        <w:tc>
          <w:tcPr>
            <w:tcW w:w="15683" w:type="dxa"/>
            <w:gridSpan w:val="25"/>
          </w:tcPr>
          <w:p w:rsidR="00312E15" w:rsidRDefault="00312E15" w:rsidP="00771487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AE1C21">
              <w:rPr>
                <w:b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312E15" w:rsidRPr="00697D14" w:rsidRDefault="00312E15" w:rsidP="00371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12E15" w:rsidTr="00DA3CB7">
        <w:trPr>
          <w:gridAfter w:val="1"/>
          <w:wAfter w:w="90" w:type="dxa"/>
        </w:trPr>
        <w:tc>
          <w:tcPr>
            <w:tcW w:w="15683" w:type="dxa"/>
            <w:gridSpan w:val="25"/>
          </w:tcPr>
          <w:p w:rsidR="00312E15" w:rsidRDefault="00312E15" w:rsidP="0060606F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П</w:t>
            </w:r>
            <w:r w:rsidRPr="002334AC">
              <w:t xml:space="preserve">о состоянию </w:t>
            </w:r>
            <w:r>
              <w:t>на 30.12.2020</w:t>
            </w:r>
            <w:r w:rsidRPr="002334AC">
              <w:t xml:space="preserve"> год</w:t>
            </w:r>
            <w:r>
              <w:t>а</w:t>
            </w:r>
            <w:r w:rsidRPr="002334AC">
              <w:t xml:space="preserve"> </w:t>
            </w:r>
            <w:proofErr w:type="gramStart"/>
            <w:r w:rsidRPr="0029218F">
              <w:t>согласно</w:t>
            </w:r>
            <w:proofErr w:type="gramEnd"/>
            <w:r w:rsidRPr="0029218F">
              <w:t xml:space="preserve"> </w:t>
            </w:r>
            <w:r>
              <w:t>единого реестра субъектов малого и среднего предпринимательства</w:t>
            </w:r>
            <w:r w:rsidRPr="0029218F">
              <w:t xml:space="preserve">, на территории городского округа Спасск-Дальний состоят на учёте по виду </w:t>
            </w:r>
            <w:r w:rsidRPr="00713828">
              <w:t>деятельности «Основной Код 41.20 «Строительство жилых и нежилых зданий» 10 юридических лица, а также 11 индивидуальных предпринимателей.</w:t>
            </w:r>
            <w:r w:rsidRPr="00207D7D">
              <w:t xml:space="preserve"> </w:t>
            </w:r>
            <w:r w:rsidRPr="0029218F">
              <w:t xml:space="preserve">Доля </w:t>
            </w:r>
            <w:proofErr w:type="gramStart"/>
            <w:r w:rsidRPr="0029218F">
              <w:t>частных хозяйствующих субъектов, осуществляющих свою деятельность на рынке услуг в сфере строительства объектов капитального строительства составляет</w:t>
            </w:r>
            <w:proofErr w:type="gramEnd"/>
            <w:r w:rsidRPr="0029218F">
              <w:t xml:space="preserve"> 100%</w:t>
            </w:r>
            <w:r>
              <w:t>.</w:t>
            </w:r>
            <w:r w:rsidRPr="002334AC">
              <w:t xml:space="preserve"> </w:t>
            </w:r>
          </w:p>
          <w:p w:rsidR="00312E15" w:rsidRDefault="00312E15" w:rsidP="0060606F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7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содействию развития конкуренции на данном рынке направлена на сохранение сложившегося уровня конкурентных </w:t>
            </w:r>
            <w:r w:rsidRPr="002D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отношений.</w:t>
            </w:r>
          </w:p>
          <w:p w:rsidR="00312E15" w:rsidRPr="004A1C12" w:rsidRDefault="00312E15" w:rsidP="0060606F">
            <w:pPr>
              <w:ind w:firstLine="567"/>
              <w:jc w:val="both"/>
            </w:pPr>
            <w:r>
              <w:t>За  2020 год</w:t>
            </w:r>
            <w:r w:rsidRPr="00AE1C21">
              <w:rPr>
                <w:b/>
              </w:rPr>
              <w:t xml:space="preserve"> </w:t>
            </w:r>
            <w:r w:rsidRPr="00A13B51">
              <w:rPr>
                <w:b/>
              </w:rPr>
              <w:t xml:space="preserve"> </w:t>
            </w:r>
            <w:r w:rsidRPr="00A13B51">
              <w:t>рынок строительства объектов капитального строительства, за исключением жилищного и дорожного строительства</w:t>
            </w:r>
            <w:r>
              <w:t xml:space="preserve"> представлен следующими показателями</w:t>
            </w:r>
            <w:r w:rsidRPr="004A1C12">
              <w:t>:</w:t>
            </w:r>
          </w:p>
          <w:p w:rsidR="00312E15" w:rsidRDefault="00312E15" w:rsidP="0060606F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разрешений на строительство – 10</w:t>
            </w:r>
            <w:r w:rsidRPr="007A4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E15" w:rsidRDefault="00312E15" w:rsidP="0060606F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планируемая площадь </w:t>
            </w:r>
            <w:r w:rsidRPr="007A4603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2784,68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A1C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E15" w:rsidRPr="001015F9" w:rsidRDefault="00312E15" w:rsidP="0060606F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планируемый строительный объем – 17371,13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015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E15" w:rsidRPr="004A1C12" w:rsidRDefault="00312E15" w:rsidP="0060606F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разрешений на ввод в </w:t>
            </w:r>
            <w:r w:rsidRPr="00B2590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4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E15" w:rsidRPr="00102E83" w:rsidRDefault="00312E15" w:rsidP="0060606F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застройки </w:t>
            </w:r>
            <w:r w:rsidRPr="00B2590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8440,9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2E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E15" w:rsidRPr="00BC5BF1" w:rsidRDefault="00312E15" w:rsidP="0060606F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строительный объем – 75735,15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E15" w:rsidRPr="00827683" w:rsidRDefault="00312E15" w:rsidP="0060606F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827683">
              <w:rPr>
                <w:rFonts w:eastAsia="Times New Roman"/>
                <w:color w:val="auto"/>
                <w:lang w:eastAsia="ru-RU"/>
              </w:rPr>
              <w:t xml:space="preserve">Основными барьерами входа на рынок </w:t>
            </w:r>
            <w:r>
              <w:rPr>
                <w:rFonts w:eastAsia="Times New Roman"/>
                <w:color w:val="auto"/>
                <w:lang w:eastAsia="ru-RU"/>
              </w:rPr>
              <w:t>являются</w:t>
            </w:r>
            <w:r w:rsidRPr="00827683">
              <w:rPr>
                <w:rFonts w:eastAsia="Times New Roman"/>
                <w:color w:val="auto"/>
                <w:lang w:eastAsia="ru-RU"/>
              </w:rPr>
              <w:t>:</w:t>
            </w:r>
          </w:p>
          <w:p w:rsidR="00312E15" w:rsidRPr="001015F9" w:rsidRDefault="00312E15" w:rsidP="0060606F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1015F9">
              <w:rPr>
                <w:rFonts w:eastAsia="Times New Roman"/>
                <w:color w:val="auto"/>
                <w:lang w:eastAsia="ru-RU"/>
              </w:rPr>
              <w:t>- ограниченные возможности уплотнительной застройки с использованием существующих инженерной, социальной и транспортной инфраструктур;</w:t>
            </w:r>
            <w:proofErr w:type="gramEnd"/>
          </w:p>
          <w:p w:rsidR="00312E15" w:rsidRPr="00BC5BF1" w:rsidRDefault="00312E15" w:rsidP="0060606F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BC5BF1">
              <w:rPr>
                <w:rFonts w:eastAsia="Times New Roman"/>
                <w:color w:val="auto"/>
                <w:lang w:eastAsia="ru-RU"/>
              </w:rPr>
              <w:t>- высокие инвестиционные риски;</w:t>
            </w:r>
          </w:p>
          <w:p w:rsidR="00312E15" w:rsidRPr="00102E83" w:rsidRDefault="00312E15" w:rsidP="0060606F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BC5BF1">
              <w:rPr>
                <w:rFonts w:eastAsia="Times New Roman"/>
                <w:color w:val="auto"/>
                <w:lang w:eastAsia="ru-RU"/>
              </w:rPr>
              <w:t>- ограниченные возможности привлечения заемных средств юридическими лицами</w:t>
            </w:r>
            <w:r w:rsidRPr="00102E83">
              <w:rPr>
                <w:rFonts w:eastAsia="Times New Roman"/>
                <w:color w:val="auto"/>
                <w:lang w:eastAsia="ru-RU"/>
              </w:rPr>
              <w:t>;</w:t>
            </w:r>
          </w:p>
          <w:p w:rsidR="00312E15" w:rsidRPr="00102E83" w:rsidRDefault="00312E15" w:rsidP="006060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F9">
              <w:rPr>
                <w:rFonts w:cs="Times New Roman"/>
                <w:sz w:val="24"/>
                <w:szCs w:val="24"/>
              </w:rPr>
              <w:t xml:space="preserve">- </w:t>
            </w:r>
            <w:r w:rsidRPr="00102E83">
              <w:rPr>
                <w:rFonts w:ascii="Times New Roman" w:hAnsi="Times New Roman" w:cs="Times New Roman"/>
                <w:sz w:val="24"/>
                <w:szCs w:val="24"/>
              </w:rPr>
              <w:t>необходимость осуществления значительных первоначальных капитальных вложений при длительных сроках окупаемости этих вложений.</w:t>
            </w:r>
          </w:p>
        </w:tc>
      </w:tr>
      <w:tr w:rsidR="00312E15" w:rsidRPr="00AB6F46" w:rsidTr="00DA3CB7">
        <w:trPr>
          <w:gridAfter w:val="2"/>
          <w:wAfter w:w="153" w:type="dxa"/>
        </w:trPr>
        <w:tc>
          <w:tcPr>
            <w:tcW w:w="623" w:type="dxa"/>
            <w:tcBorders>
              <w:bottom w:val="single" w:sz="4" w:space="0" w:color="auto"/>
            </w:tcBorders>
          </w:tcPr>
          <w:p w:rsidR="00312E15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2E15" w:rsidRPr="00A75AF4" w:rsidRDefault="00312E15" w:rsidP="00102E83">
            <w:pPr>
              <w:pStyle w:val="Default"/>
            </w:pPr>
            <w:r w:rsidRPr="00A75AF4">
              <w:t>Создание реестра субъектов</w:t>
            </w:r>
            <w:r w:rsidRPr="00A75AF4">
              <w:rPr>
                <w:b/>
              </w:rPr>
              <w:t xml:space="preserve"> </w:t>
            </w:r>
            <w:r w:rsidRPr="00A75AF4">
              <w:t>оказывающих услуги в сфере капитального строительства</w:t>
            </w:r>
          </w:p>
          <w:p w:rsidR="00312E15" w:rsidRPr="00A75AF4" w:rsidRDefault="00312E15" w:rsidP="00371D71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12E15" w:rsidRPr="00A75AF4" w:rsidRDefault="00312E15" w:rsidP="00371D71">
            <w:pPr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417" w:type="dxa"/>
            <w:vMerge w:val="restart"/>
          </w:tcPr>
          <w:p w:rsidR="00312E15" w:rsidRPr="00A75AF4" w:rsidRDefault="00312E15" w:rsidP="00102E83">
            <w:pPr>
              <w:pStyle w:val="Default"/>
            </w:pPr>
            <w:r w:rsidRPr="00A75AF4">
              <w:t>Доля хозяйствующих субъектов частной формы собственности в общем количестве хозяйствующих субъектов в сфере строительства, за исключением жилищного и дорожного строительст</w:t>
            </w:r>
            <w:r w:rsidRPr="00A75AF4">
              <w:lastRenderedPageBreak/>
              <w:t>ва</w:t>
            </w:r>
          </w:p>
          <w:p w:rsidR="00312E15" w:rsidRPr="00A75AF4" w:rsidRDefault="00312E15" w:rsidP="00371D7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312E15" w:rsidRPr="00A75AF4" w:rsidRDefault="00312E15" w:rsidP="00371D71">
            <w:pPr>
              <w:jc w:val="center"/>
            </w:pPr>
            <w:r w:rsidRPr="00A75AF4">
              <w:lastRenderedPageBreak/>
              <w:t>проценты</w:t>
            </w:r>
          </w:p>
        </w:tc>
        <w:tc>
          <w:tcPr>
            <w:tcW w:w="776" w:type="dxa"/>
            <w:gridSpan w:val="2"/>
            <w:vMerge w:val="restart"/>
          </w:tcPr>
          <w:p w:rsidR="00312E15" w:rsidRPr="00A75AF4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gridSpan w:val="6"/>
            <w:vMerge w:val="restart"/>
          </w:tcPr>
          <w:p w:rsidR="00312E15" w:rsidRPr="00A75AF4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A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gridSpan w:val="4"/>
            <w:vMerge w:val="restart"/>
          </w:tcPr>
          <w:p w:rsidR="00312E15" w:rsidRPr="00A75AF4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AF4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3560" w:type="dxa"/>
            <w:gridSpan w:val="4"/>
            <w:tcBorders>
              <w:bottom w:val="single" w:sz="4" w:space="0" w:color="auto"/>
            </w:tcBorders>
          </w:tcPr>
          <w:p w:rsidR="00312E15" w:rsidRPr="00A75AF4" w:rsidRDefault="00312E15" w:rsidP="00924606">
            <w:pPr>
              <w:jc w:val="both"/>
              <w:rPr>
                <w:color w:val="000000"/>
              </w:rPr>
            </w:pPr>
            <w:r w:rsidRPr="00A75AF4">
              <w:rPr>
                <w:color w:val="000000"/>
              </w:rPr>
              <w:t>Создан р</w:t>
            </w:r>
            <w:r>
              <w:rPr>
                <w:color w:val="000000"/>
              </w:rPr>
              <w:t>еестр организаций в области капитального</w:t>
            </w:r>
            <w:r w:rsidRPr="00A75AF4">
              <w:rPr>
                <w:color w:val="000000"/>
              </w:rPr>
              <w:t xml:space="preserve"> строительства, ведется своевременная актуализация (На данное время насчитывается 14 организаций)</w:t>
            </w:r>
            <w:r w:rsidR="00E120F4">
              <w:rPr>
                <w:color w:val="000000"/>
              </w:rPr>
              <w:t>.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</w:tcPr>
          <w:p w:rsidR="00312E15" w:rsidRPr="00A75AF4" w:rsidRDefault="00312E15" w:rsidP="00804693">
            <w:pPr>
              <w:pStyle w:val="Default"/>
              <w:jc w:val="both"/>
            </w:pPr>
            <w:r w:rsidRPr="00A75AF4">
              <w:t xml:space="preserve">Наличие актуальной  информации о количестве и форме собственности организаций, находящихся на рынке капитального строительства. </w:t>
            </w:r>
          </w:p>
          <w:p w:rsidR="00312E15" w:rsidRPr="00A75AF4" w:rsidRDefault="00312E15" w:rsidP="00804693">
            <w:pPr>
              <w:jc w:val="both"/>
              <w:rPr>
                <w:color w:val="000000"/>
              </w:rPr>
            </w:pPr>
            <w:r w:rsidRPr="00A75AF4">
              <w:t>Быстрый и удобный поиск подрядчиков для участия  в закупках.</w:t>
            </w:r>
          </w:p>
        </w:tc>
      </w:tr>
      <w:tr w:rsidR="00312E15" w:rsidRPr="00AB6F46" w:rsidTr="00DA3CB7">
        <w:trPr>
          <w:gridAfter w:val="2"/>
          <w:wAfter w:w="153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A0E0F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A75AF4" w:rsidRDefault="00312E15" w:rsidP="00371D71">
            <w:pPr>
              <w:rPr>
                <w:color w:val="000000"/>
              </w:rPr>
            </w:pPr>
            <w:r w:rsidRPr="00A75AF4">
              <w:t xml:space="preserve">Обеспечение предоставления государственных (муниципальных) услуг по выдаче градостроительного плана земельного участка, разрешения на строительство, а </w:t>
            </w:r>
            <w:r w:rsidRPr="00A75AF4">
              <w:lastRenderedPageBreak/>
              <w:t>также разрешения на ввод объекта в эксплуатацию исключительно в электронном виде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15" w:rsidRPr="00A75AF4" w:rsidRDefault="00312E15" w:rsidP="00371D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2020 год</w:t>
            </w:r>
          </w:p>
        </w:tc>
        <w:tc>
          <w:tcPr>
            <w:tcW w:w="1417" w:type="dxa"/>
            <w:vMerge/>
            <w:vAlign w:val="center"/>
          </w:tcPr>
          <w:p w:rsidR="00312E15" w:rsidRPr="00A75AF4" w:rsidRDefault="00312E15" w:rsidP="00371D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2E15" w:rsidRPr="00A75AF4" w:rsidRDefault="00312E15" w:rsidP="00371D71">
            <w:pPr>
              <w:jc w:val="center"/>
            </w:pPr>
          </w:p>
        </w:tc>
        <w:tc>
          <w:tcPr>
            <w:tcW w:w="776" w:type="dxa"/>
            <w:gridSpan w:val="2"/>
            <w:vMerge/>
            <w:tcBorders>
              <w:bottom w:val="single" w:sz="4" w:space="0" w:color="auto"/>
            </w:tcBorders>
          </w:tcPr>
          <w:p w:rsidR="00312E15" w:rsidRPr="00A75AF4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6"/>
            <w:vMerge/>
            <w:tcBorders>
              <w:bottom w:val="single" w:sz="4" w:space="0" w:color="auto"/>
            </w:tcBorders>
          </w:tcPr>
          <w:p w:rsidR="00312E15" w:rsidRPr="00A75AF4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4"/>
            <w:vMerge/>
            <w:tcBorders>
              <w:bottom w:val="single" w:sz="4" w:space="0" w:color="auto"/>
            </w:tcBorders>
          </w:tcPr>
          <w:p w:rsidR="00312E15" w:rsidRPr="00A75AF4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A75AF4" w:rsidRDefault="00312E15" w:rsidP="005A1F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настоящее время ведутся работы по первичной настройке и загрузке исходных данных системы государственной информационной системе «Региональная информационная система обеспечения градостроительной деятельности»</w:t>
            </w:r>
            <w:r w:rsidR="00E120F4">
              <w:rPr>
                <w:color w:val="000000"/>
              </w:rPr>
              <w:t>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A75AF4" w:rsidRDefault="00312E15" w:rsidP="00371D71">
            <w:pPr>
              <w:rPr>
                <w:color w:val="000000"/>
              </w:rPr>
            </w:pPr>
            <w:r w:rsidRPr="00A75AF4">
              <w:rPr>
                <w:lang w:eastAsia="en-US"/>
              </w:rPr>
              <w:t>Снижение административной нагрузки при прохождении процедур в сфере строительства</w:t>
            </w:r>
            <w:r w:rsidR="00DD556F">
              <w:rPr>
                <w:lang w:eastAsia="en-US"/>
              </w:rPr>
              <w:t>.</w:t>
            </w:r>
          </w:p>
        </w:tc>
      </w:tr>
      <w:tr w:rsidR="00312E15" w:rsidRPr="00AB6F46" w:rsidTr="00DA3CB7">
        <w:trPr>
          <w:gridAfter w:val="2"/>
          <w:wAfter w:w="153" w:type="dxa"/>
          <w:trHeight w:val="33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A0E0F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AB6F46" w:rsidRDefault="00312E15" w:rsidP="00A05B25">
            <w:pPr>
              <w:rPr>
                <w:color w:val="000000"/>
              </w:rPr>
            </w:pPr>
            <w:r w:rsidRPr="00305FF2">
              <w:t>Обеспечение опубликования и актуализации на официальн</w:t>
            </w:r>
            <w:r>
              <w:t>ом</w:t>
            </w:r>
            <w:r w:rsidRPr="00305FF2">
              <w:t xml:space="preserve"> сайт</w:t>
            </w:r>
            <w:r>
              <w:t>е</w:t>
            </w:r>
            <w:r w:rsidRPr="00305FF2">
              <w:t xml:space="preserve"> </w:t>
            </w:r>
            <w:r>
              <w:t>Администрации</w:t>
            </w:r>
            <w:r w:rsidRPr="00305FF2">
              <w:t xml:space="preserve"> в информационно-телекоммуникационной сети «Интернет»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15" w:rsidRPr="00AB6F46" w:rsidRDefault="00312E15" w:rsidP="00371D71">
            <w:pPr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417" w:type="dxa"/>
            <w:vMerge/>
            <w:vAlign w:val="center"/>
          </w:tcPr>
          <w:p w:rsidR="00312E15" w:rsidRPr="00AB6F46" w:rsidRDefault="00312E15" w:rsidP="00371D71">
            <w:pPr>
              <w:jc w:val="center"/>
            </w:pPr>
          </w:p>
        </w:tc>
        <w:tc>
          <w:tcPr>
            <w:tcW w:w="1276" w:type="dxa"/>
            <w:vMerge/>
          </w:tcPr>
          <w:p w:rsidR="00312E15" w:rsidRPr="00AB6F46" w:rsidRDefault="00312E15" w:rsidP="00371D71">
            <w:pPr>
              <w:jc w:val="center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AB6F46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AB6F46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AB6F46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Default="00312E15" w:rsidP="0092460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Актуализированы и опубликованы </w:t>
            </w:r>
            <w:r w:rsidRPr="00305FF2">
              <w:t>административны</w:t>
            </w:r>
            <w:r>
              <w:t>е регламенты</w:t>
            </w:r>
            <w:r w:rsidRPr="00305FF2">
              <w:t xml:space="preserve"> предоставления государственных (муниципальных) услуг</w:t>
            </w:r>
            <w:r>
              <w:rPr>
                <w:color w:val="000000"/>
              </w:rPr>
              <w:t xml:space="preserve"> на официальном сайте городского округа Спасск-Дальний.</w:t>
            </w:r>
          </w:p>
          <w:p w:rsidR="00312E15" w:rsidRDefault="00312E15" w:rsidP="00924606">
            <w:pPr>
              <w:rPr>
                <w:color w:val="000000"/>
              </w:rPr>
            </w:pPr>
          </w:p>
          <w:p w:rsidR="00312E15" w:rsidRDefault="00312E15" w:rsidP="00924606">
            <w:r w:rsidRPr="00355AA9">
              <w:t xml:space="preserve">447-па от 24.10.2019 Выдача разрешения (ордера) на </w:t>
            </w:r>
            <w:proofErr w:type="spellStart"/>
            <w:r w:rsidRPr="00355AA9">
              <w:t>провед</w:t>
            </w:r>
            <w:proofErr w:type="gramStart"/>
            <w:r w:rsidRPr="00355AA9">
              <w:t>.з</w:t>
            </w:r>
            <w:proofErr w:type="gramEnd"/>
            <w:r w:rsidRPr="00355AA9">
              <w:t>ем.работ</w:t>
            </w:r>
            <w:proofErr w:type="spellEnd"/>
            <w:r>
              <w:t>;</w:t>
            </w:r>
          </w:p>
          <w:p w:rsidR="00312E15" w:rsidRDefault="00312E15" w:rsidP="00924606"/>
          <w:p w:rsidR="00312E15" w:rsidRDefault="00312E15" w:rsidP="00924606">
            <w:r w:rsidRPr="00355AA9">
              <w:t xml:space="preserve">469-па от 12.11.2019 Утверждение схемы </w:t>
            </w:r>
            <w:proofErr w:type="spellStart"/>
            <w:r w:rsidRPr="00355AA9">
              <w:t>зем</w:t>
            </w:r>
            <w:proofErr w:type="gramStart"/>
            <w:r w:rsidRPr="00355AA9">
              <w:t>.у</w:t>
            </w:r>
            <w:proofErr w:type="gramEnd"/>
            <w:r w:rsidRPr="00355AA9">
              <w:t>част</w:t>
            </w:r>
            <w:proofErr w:type="spellEnd"/>
            <w:r>
              <w:t>;</w:t>
            </w:r>
          </w:p>
          <w:p w:rsidR="00312E15" w:rsidRDefault="00312E15" w:rsidP="00924606"/>
          <w:p w:rsidR="00312E15" w:rsidRDefault="00312E15" w:rsidP="00924606">
            <w:r w:rsidRPr="00355AA9">
              <w:t xml:space="preserve">478-па от 15.11.2019  </w:t>
            </w:r>
            <w:r>
              <w:t>( в ред</w:t>
            </w:r>
            <w:proofErr w:type="gramStart"/>
            <w:r>
              <w:t>.п</w:t>
            </w:r>
            <w:proofErr w:type="gramEnd"/>
            <w:r>
              <w:t xml:space="preserve">ост.№117-па от 18.03.2020) </w:t>
            </w:r>
            <w:r w:rsidRPr="00355AA9">
              <w:t>Выдача ГПЗУ</w:t>
            </w:r>
            <w:r>
              <w:t>;</w:t>
            </w:r>
            <w:r w:rsidRPr="00355AA9">
              <w:t xml:space="preserve">  </w:t>
            </w:r>
          </w:p>
          <w:p w:rsidR="00312E15" w:rsidRDefault="00312E15" w:rsidP="00924606"/>
          <w:p w:rsidR="00312E15" w:rsidRDefault="00312E15" w:rsidP="00924606">
            <w:r w:rsidRPr="00355AA9">
              <w:t xml:space="preserve">506-па от 02.12.2019 </w:t>
            </w:r>
            <w:r>
              <w:t xml:space="preserve">( </w:t>
            </w:r>
            <w:proofErr w:type="spellStart"/>
            <w:r>
              <w:t>вред</w:t>
            </w:r>
            <w:proofErr w:type="gramStart"/>
            <w:r>
              <w:t>.п</w:t>
            </w:r>
            <w:proofErr w:type="gramEnd"/>
            <w:r>
              <w:t>ост</w:t>
            </w:r>
            <w:proofErr w:type="spellEnd"/>
            <w:r>
              <w:t xml:space="preserve">. №118-па от 18.03.2020) </w:t>
            </w:r>
            <w:r w:rsidRPr="00355AA9">
              <w:t>Выдача разр</w:t>
            </w:r>
            <w:r>
              <w:t>ешения</w:t>
            </w:r>
            <w:r w:rsidRPr="00355AA9">
              <w:t xml:space="preserve"> на отклон</w:t>
            </w:r>
            <w:r>
              <w:t>ения;</w:t>
            </w:r>
          </w:p>
          <w:p w:rsidR="00312E15" w:rsidRDefault="00312E15" w:rsidP="00924606"/>
          <w:p w:rsidR="00312E15" w:rsidRDefault="00312E15" w:rsidP="00924606">
            <w:r w:rsidRPr="00355AA9">
              <w:t xml:space="preserve">524-па от 12.12.2019 </w:t>
            </w:r>
            <w:r>
              <w:t>(в ред</w:t>
            </w:r>
            <w:proofErr w:type="gramStart"/>
            <w:r>
              <w:t>.п</w:t>
            </w:r>
            <w:proofErr w:type="gramEnd"/>
            <w:r>
              <w:t>ост.№133-па от 24.03.2020) Р</w:t>
            </w:r>
            <w:r w:rsidRPr="00355AA9">
              <w:t>азреш</w:t>
            </w:r>
            <w:r>
              <w:t>ение на</w:t>
            </w:r>
            <w:r w:rsidRPr="00355AA9">
              <w:t xml:space="preserve"> строит</w:t>
            </w:r>
            <w:r>
              <w:t>ельство;</w:t>
            </w:r>
          </w:p>
          <w:p w:rsidR="00312E15" w:rsidRDefault="00312E15" w:rsidP="00924606"/>
          <w:p w:rsidR="00312E15" w:rsidRDefault="00312E15" w:rsidP="00924606">
            <w:r>
              <w:t>525-па от 12.12.2019 (в ред</w:t>
            </w:r>
            <w:proofErr w:type="gramStart"/>
            <w:r>
              <w:t>.п</w:t>
            </w:r>
            <w:proofErr w:type="gramEnd"/>
            <w:r>
              <w:t xml:space="preserve">ост .№115-па от 18.03.2020) </w:t>
            </w:r>
            <w:r w:rsidRPr="00355AA9">
              <w:t>Принят</w:t>
            </w:r>
            <w:r>
              <w:t>ие  решения</w:t>
            </w:r>
            <w:r w:rsidRPr="00355AA9">
              <w:t xml:space="preserve"> об </w:t>
            </w:r>
            <w:r w:rsidRPr="00355AA9">
              <w:lastRenderedPageBreak/>
              <w:t>утвержд</w:t>
            </w:r>
            <w:r>
              <w:t>ении</w:t>
            </w:r>
            <w:r w:rsidRPr="00355AA9">
              <w:t xml:space="preserve"> план</w:t>
            </w:r>
            <w:r>
              <w:t xml:space="preserve">ировки </w:t>
            </w:r>
            <w:r w:rsidRPr="00355AA9">
              <w:t>тер</w:t>
            </w:r>
            <w:r>
              <w:t>ритории;</w:t>
            </w:r>
          </w:p>
          <w:p w:rsidR="00312E15" w:rsidRDefault="00312E15" w:rsidP="00924606"/>
          <w:p w:rsidR="00312E15" w:rsidRDefault="00312E15" w:rsidP="00924606">
            <w:r w:rsidRPr="00355AA9">
              <w:t xml:space="preserve">528-па от 13.12.2019 </w:t>
            </w:r>
            <w:r>
              <w:t>(в ред</w:t>
            </w:r>
            <w:proofErr w:type="gramStart"/>
            <w:r>
              <w:t>.п</w:t>
            </w:r>
            <w:proofErr w:type="gramEnd"/>
            <w:r>
              <w:t xml:space="preserve">ост.№119-па от 18.03.2020) </w:t>
            </w:r>
            <w:r w:rsidRPr="00355AA9">
              <w:t>Выдача разреш</w:t>
            </w:r>
            <w:r>
              <w:t>ения</w:t>
            </w:r>
            <w:r w:rsidRPr="00355AA9">
              <w:t xml:space="preserve"> на услов</w:t>
            </w:r>
            <w:r>
              <w:t>но-</w:t>
            </w:r>
            <w:r w:rsidRPr="00355AA9">
              <w:t>разр</w:t>
            </w:r>
            <w:r>
              <w:t xml:space="preserve">ешенный </w:t>
            </w:r>
            <w:r w:rsidRPr="00355AA9">
              <w:t>вид</w:t>
            </w:r>
            <w:r>
              <w:t>;</w:t>
            </w:r>
          </w:p>
          <w:p w:rsidR="00312E15" w:rsidRDefault="00312E15" w:rsidP="00924606"/>
          <w:p w:rsidR="00312E15" w:rsidRDefault="00312E15" w:rsidP="00924606">
            <w:r w:rsidRPr="00355AA9">
              <w:t>52</w:t>
            </w:r>
            <w:r>
              <w:t>3</w:t>
            </w:r>
            <w:r w:rsidRPr="00355AA9">
              <w:t xml:space="preserve">-па от 13.12.2019 </w:t>
            </w:r>
            <w:proofErr w:type="gramStart"/>
            <w:r>
              <w:t xml:space="preserve">( </w:t>
            </w:r>
            <w:proofErr w:type="gramEnd"/>
            <w:r>
              <w:t xml:space="preserve">в ред. Пост №116-па от 18.03.2020) </w:t>
            </w:r>
            <w:r w:rsidRPr="00355AA9">
              <w:t>Принятие реш</w:t>
            </w:r>
            <w:r>
              <w:t>ения</w:t>
            </w:r>
            <w:r w:rsidRPr="00355AA9">
              <w:t xml:space="preserve"> о план</w:t>
            </w:r>
            <w:r>
              <w:t xml:space="preserve">ировке </w:t>
            </w:r>
            <w:r w:rsidRPr="00355AA9">
              <w:t>тер</w:t>
            </w:r>
            <w:r>
              <w:t>р</w:t>
            </w:r>
            <w:r w:rsidRPr="00355AA9">
              <w:t>итор</w:t>
            </w:r>
            <w:r>
              <w:t>ии;</w:t>
            </w:r>
          </w:p>
          <w:p w:rsidR="00312E15" w:rsidRDefault="00312E15" w:rsidP="00924606"/>
          <w:p w:rsidR="00312E15" w:rsidRDefault="00312E15" w:rsidP="00924606">
            <w:r>
              <w:t>566-па от 17.12.2019 ( в ред</w:t>
            </w:r>
            <w:proofErr w:type="gramStart"/>
            <w:r>
              <w:t>.п</w:t>
            </w:r>
            <w:proofErr w:type="gramEnd"/>
            <w:r>
              <w:t>ост.№131-па от 24.03.2020) Р</w:t>
            </w:r>
            <w:r w:rsidRPr="00355AA9">
              <w:t>азреш</w:t>
            </w:r>
            <w:r>
              <w:t>ение на ввод в эксплуатацию;</w:t>
            </w:r>
          </w:p>
          <w:p w:rsidR="00312E15" w:rsidRDefault="00312E15" w:rsidP="00924606"/>
          <w:p w:rsidR="00312E15" w:rsidRDefault="00312E15" w:rsidP="00924606">
            <w:r w:rsidRPr="00355AA9">
              <w:t xml:space="preserve">575-па от 18.12.2019 </w:t>
            </w:r>
            <w:r>
              <w:t>(в ред</w:t>
            </w:r>
            <w:proofErr w:type="gramStart"/>
            <w:r>
              <w:t>.п</w:t>
            </w:r>
            <w:proofErr w:type="gramEnd"/>
            <w:r>
              <w:t>ост. №130-па от 24.03.2020) У</w:t>
            </w:r>
            <w:r w:rsidRPr="00355AA9">
              <w:t>ведомл</w:t>
            </w:r>
            <w:r>
              <w:t xml:space="preserve">ение </w:t>
            </w:r>
            <w:r w:rsidRPr="00355AA9">
              <w:t>о планируем</w:t>
            </w:r>
            <w:r>
              <w:t xml:space="preserve">ом строительстве </w:t>
            </w:r>
            <w:r w:rsidRPr="00656DA8">
              <w:t>или реконструированных объект</w:t>
            </w:r>
            <w:r>
              <w:t>ов</w:t>
            </w:r>
            <w:r w:rsidRPr="00656DA8">
              <w:t xml:space="preserve"> индивидуального жилищного строительства</w:t>
            </w:r>
            <w:r>
              <w:t>;</w:t>
            </w:r>
          </w:p>
          <w:p w:rsidR="00312E15" w:rsidRDefault="00312E15" w:rsidP="00924606"/>
          <w:p w:rsidR="00312E15" w:rsidRPr="004E73A3" w:rsidRDefault="00312E15" w:rsidP="00924606">
            <w:r w:rsidRPr="00355AA9">
              <w:t xml:space="preserve">545-па от 16.12.2019 </w:t>
            </w:r>
            <w:r>
              <w:t>( в ред</w:t>
            </w:r>
            <w:proofErr w:type="gramStart"/>
            <w:r>
              <w:t>.п</w:t>
            </w:r>
            <w:proofErr w:type="gramEnd"/>
            <w:r>
              <w:t>ост №129-па от 24.03.2020) У</w:t>
            </w:r>
            <w:r w:rsidRPr="00355AA9">
              <w:t>ведомл</w:t>
            </w:r>
            <w:r>
              <w:t>ение</w:t>
            </w:r>
            <w:r w:rsidRPr="00355AA9">
              <w:t xml:space="preserve"> о </w:t>
            </w:r>
            <w:r w:rsidRPr="00656DA8">
              <w:t>построенных или реконструированных объект</w:t>
            </w:r>
            <w:r>
              <w:t>ов</w:t>
            </w:r>
            <w:r w:rsidRPr="00656DA8">
              <w:t xml:space="preserve"> индивидуального жилищного строительства</w:t>
            </w:r>
            <w:r>
              <w:t>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AB6F46" w:rsidRDefault="00312E15" w:rsidP="00804693">
            <w:pPr>
              <w:rPr>
                <w:color w:val="000000"/>
              </w:rPr>
            </w:pPr>
            <w:r w:rsidRPr="00305FF2">
              <w:lastRenderedPageBreak/>
              <w:t>Повышение информированности хозяйствующих субъектов, осуществляющих деятельность на данном рынке</w:t>
            </w:r>
            <w:r w:rsidR="00DD556F">
              <w:t>.</w:t>
            </w:r>
          </w:p>
        </w:tc>
      </w:tr>
      <w:tr w:rsidR="00312E15" w:rsidRPr="00697D14" w:rsidTr="00DA3CB7">
        <w:trPr>
          <w:gridAfter w:val="2"/>
          <w:wAfter w:w="153" w:type="dxa"/>
        </w:trPr>
        <w:tc>
          <w:tcPr>
            <w:tcW w:w="15620" w:type="dxa"/>
            <w:gridSpan w:val="24"/>
          </w:tcPr>
          <w:p w:rsidR="00312E15" w:rsidRPr="00967577" w:rsidRDefault="00312E15" w:rsidP="00371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967577">
              <w:rPr>
                <w:b/>
              </w:rPr>
              <w:t xml:space="preserve">. </w:t>
            </w:r>
            <w:r w:rsidRPr="00967577">
              <w:rPr>
                <w:rFonts w:eastAsiaTheme="minorHAnsi"/>
                <w:b/>
              </w:rPr>
              <w:t>Рынок выполнения работ по благоустройству городской среды</w:t>
            </w:r>
          </w:p>
        </w:tc>
      </w:tr>
      <w:tr w:rsidR="00312E15" w:rsidTr="00DA3CB7">
        <w:trPr>
          <w:gridAfter w:val="2"/>
          <w:wAfter w:w="153" w:type="dxa"/>
        </w:trPr>
        <w:tc>
          <w:tcPr>
            <w:tcW w:w="15620" w:type="dxa"/>
            <w:gridSpan w:val="24"/>
          </w:tcPr>
          <w:p w:rsidR="00312E15" w:rsidRPr="00B45FD0" w:rsidRDefault="00312E15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37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площадь городских земель в пределах городской черты 4,3 га. Общая площадь зеленых насаждений в пределах городской черты 1,2 га. Площадь города, убираемая механизированным способом 961,9  тыс. м</w:t>
            </w:r>
            <w:proofErr w:type="gramStart"/>
            <w:r w:rsidRPr="003E37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E37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В настоящее время рынок выполнения работ по благоустройству городской </w:t>
            </w:r>
            <w:r w:rsidRPr="003E37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среды на территории  городского округа Спасск-Дальний является </w:t>
            </w:r>
            <w:proofErr w:type="gramStart"/>
            <w:r w:rsidRPr="003E37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достаточно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конкурентным</w:t>
            </w:r>
            <w:proofErr w:type="gramEnd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Все работы проводятся на конкурсной основе. В торгах принима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 участие 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ое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МУП  «Городской рынок»</w:t>
            </w:r>
          </w:p>
        </w:tc>
      </w:tr>
      <w:tr w:rsidR="00312E15" w:rsidRPr="00AB6F46" w:rsidTr="00DA3CB7">
        <w:trPr>
          <w:gridAfter w:val="2"/>
          <w:wAfter w:w="153" w:type="dxa"/>
        </w:trPr>
        <w:tc>
          <w:tcPr>
            <w:tcW w:w="623" w:type="dxa"/>
            <w:tcBorders>
              <w:bottom w:val="single" w:sz="4" w:space="0" w:color="auto"/>
            </w:tcBorders>
          </w:tcPr>
          <w:p w:rsidR="00312E15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2E15" w:rsidRPr="00B45FD0" w:rsidRDefault="00312E15" w:rsidP="00020C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информации об определении поставщика (подрядчика, исполнителя) в информационно-телекоммуникационной сети Интернет в соответствии с действующим законодательством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12E15" w:rsidRPr="00B45FD0" w:rsidRDefault="00312E15" w:rsidP="00967577">
            <w:pPr>
              <w:pStyle w:val="ConsPlusNormal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vMerge w:val="restart"/>
          </w:tcPr>
          <w:p w:rsidR="00312E15" w:rsidRPr="00BA0E0F" w:rsidRDefault="00312E15" w:rsidP="00371D71">
            <w:pPr>
              <w:jc w:val="center"/>
            </w:pPr>
            <w:r w:rsidRPr="00D90838">
              <w:t>доля организаций частной формы собственности в сфере выполнения работ по благоустройству городской среды</w:t>
            </w:r>
          </w:p>
          <w:p w:rsidR="00312E15" w:rsidRPr="00BA0E0F" w:rsidRDefault="00312E15" w:rsidP="00371D7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312E15" w:rsidRPr="00BA0E0F" w:rsidRDefault="00312E15" w:rsidP="00371D71">
            <w:pPr>
              <w:jc w:val="center"/>
            </w:pPr>
            <w:r w:rsidRPr="00AB54D7">
              <w:t>проценты</w:t>
            </w:r>
          </w:p>
          <w:p w:rsidR="00312E15" w:rsidRPr="00BA0E0F" w:rsidRDefault="00312E15" w:rsidP="00371D71">
            <w:pPr>
              <w:jc w:val="center"/>
            </w:pPr>
          </w:p>
        </w:tc>
        <w:tc>
          <w:tcPr>
            <w:tcW w:w="776" w:type="dxa"/>
            <w:gridSpan w:val="2"/>
            <w:vMerge w:val="restart"/>
          </w:tcPr>
          <w:p w:rsidR="00312E15" w:rsidRPr="00BA0E0F" w:rsidRDefault="00312E15" w:rsidP="000E2D5B">
            <w:pPr>
              <w:jc w:val="center"/>
            </w:pPr>
            <w:r>
              <w:t>80</w:t>
            </w:r>
          </w:p>
        </w:tc>
        <w:tc>
          <w:tcPr>
            <w:tcW w:w="868" w:type="dxa"/>
            <w:gridSpan w:val="3"/>
            <w:vMerge w:val="restart"/>
          </w:tcPr>
          <w:p w:rsidR="00312E15" w:rsidRPr="00BA0E0F" w:rsidRDefault="00312E15" w:rsidP="000E2D5B">
            <w:pPr>
              <w:jc w:val="center"/>
            </w:pPr>
            <w:r>
              <w:t>90</w:t>
            </w:r>
          </w:p>
        </w:tc>
        <w:tc>
          <w:tcPr>
            <w:tcW w:w="1740" w:type="dxa"/>
            <w:gridSpan w:val="9"/>
            <w:vMerge w:val="restart"/>
          </w:tcPr>
          <w:p w:rsidR="00312E15" w:rsidRDefault="00DD556F" w:rsidP="00DD556F">
            <w:pPr>
              <w:pStyle w:val="ConsPlusNormal"/>
              <w:ind w:firstLine="38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100/100</w:t>
            </w:r>
          </w:p>
          <w:p w:rsidR="00DD556F" w:rsidRPr="00B45FD0" w:rsidRDefault="00DD556F" w:rsidP="00DA3CB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2E15" w:rsidRPr="00BA0E0F" w:rsidRDefault="00312E15" w:rsidP="000E2D5B">
            <w:pPr>
              <w:jc w:val="center"/>
            </w:pPr>
          </w:p>
        </w:tc>
        <w:tc>
          <w:tcPr>
            <w:tcW w:w="3050" w:type="dxa"/>
          </w:tcPr>
          <w:p w:rsidR="00312E15" w:rsidRPr="00B45FD0" w:rsidRDefault="00312E15" w:rsidP="000E2D5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электронных аукционов на выполнение работ по благоустройству городской среды и заключений муниципальных контрактов по итогам определения подрядчиков. Все аукционы проводились для субъектов малого предпринимательства.</w:t>
            </w:r>
          </w:p>
        </w:tc>
        <w:tc>
          <w:tcPr>
            <w:tcW w:w="2484" w:type="dxa"/>
            <w:gridSpan w:val="3"/>
            <w:tcBorders>
              <w:bottom w:val="single" w:sz="4" w:space="0" w:color="auto"/>
            </w:tcBorders>
          </w:tcPr>
          <w:p w:rsidR="00312E15" w:rsidRPr="00B45FD0" w:rsidRDefault="00DD556F" w:rsidP="00A50E6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100% доли предприятий частной формы собственности в сфере выполнения работ по благоустройству городской среды.</w:t>
            </w:r>
          </w:p>
        </w:tc>
      </w:tr>
      <w:tr w:rsidR="00312E15" w:rsidRPr="00AB6F46" w:rsidTr="00DA3CB7">
        <w:trPr>
          <w:gridAfter w:val="2"/>
          <w:wAfter w:w="153" w:type="dxa"/>
          <w:trHeight w:val="28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A0E0F" w:rsidRDefault="00312E15" w:rsidP="00AE743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AB6F46" w:rsidRDefault="00312E15" w:rsidP="00371D71">
            <w:pPr>
              <w:rPr>
                <w:color w:val="000000"/>
              </w:rPr>
            </w:pPr>
            <w:r w:rsidRPr="00B45FD0">
              <w:rPr>
                <w:rFonts w:eastAsia="Calibri"/>
                <w:lang w:eastAsia="en-US"/>
              </w:rPr>
              <w:t>Информирование потенциальных участников о реализации мероприятий муниципальной программы «Формирование комфортной городской среды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15" w:rsidRPr="00AB6F46" w:rsidRDefault="00312E15" w:rsidP="00371D71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417" w:type="dxa"/>
            <w:vMerge/>
          </w:tcPr>
          <w:p w:rsidR="00312E15" w:rsidRPr="00AB6F46" w:rsidRDefault="00312E15" w:rsidP="00371D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2E15" w:rsidRPr="00AB6F46" w:rsidRDefault="00312E15" w:rsidP="00371D71">
            <w:pPr>
              <w:jc w:val="center"/>
            </w:pPr>
          </w:p>
        </w:tc>
        <w:tc>
          <w:tcPr>
            <w:tcW w:w="776" w:type="dxa"/>
            <w:gridSpan w:val="2"/>
            <w:vMerge/>
            <w:tcBorders>
              <w:bottom w:val="single" w:sz="4" w:space="0" w:color="auto"/>
            </w:tcBorders>
          </w:tcPr>
          <w:p w:rsidR="00312E15" w:rsidRPr="00AB6F46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vMerge/>
            <w:tcBorders>
              <w:bottom w:val="single" w:sz="4" w:space="0" w:color="auto"/>
            </w:tcBorders>
          </w:tcPr>
          <w:p w:rsidR="00312E15" w:rsidRPr="00AB6F46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9"/>
            <w:vMerge/>
            <w:tcBorders>
              <w:bottom w:val="single" w:sz="4" w:space="0" w:color="auto"/>
            </w:tcBorders>
          </w:tcPr>
          <w:p w:rsidR="00312E15" w:rsidRPr="00AB6F46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312E15" w:rsidRPr="00AB6F46" w:rsidRDefault="00312E15" w:rsidP="00371D71">
            <w:pPr>
              <w:rPr>
                <w:color w:val="000000"/>
              </w:rPr>
            </w:pPr>
            <w:r w:rsidRPr="00B45FD0">
              <w:rPr>
                <w:rFonts w:eastAsia="Calibri"/>
                <w:lang w:eastAsia="en-US"/>
              </w:rPr>
              <w:t>Информирование потенциальных участников о реализации мероприятий муниципальной программы «Формирование комфортной городской среды</w:t>
            </w:r>
            <w:r>
              <w:rPr>
                <w:rFonts w:eastAsia="Calibri"/>
                <w:lang w:eastAsia="en-US"/>
              </w:rPr>
              <w:t>» осуществляется посредством размещения информации на официальном сайте Администрации городского округа</w:t>
            </w:r>
            <w:r w:rsidR="00E120F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AB6F46" w:rsidRDefault="00312E15" w:rsidP="00371D71">
            <w:pPr>
              <w:rPr>
                <w:color w:val="000000"/>
              </w:rPr>
            </w:pPr>
            <w:r>
              <w:t xml:space="preserve">В аукционах по мероприятиям </w:t>
            </w:r>
            <w:r w:rsidRPr="00B45FD0">
              <w:t>муниципальной программы «Формирование комфортной городской среды</w:t>
            </w:r>
            <w:r>
              <w:t xml:space="preserve"> доля предприятий частного бизнеса составляет 100%</w:t>
            </w:r>
            <w:r w:rsidR="00DD556F">
              <w:t>.</w:t>
            </w:r>
          </w:p>
        </w:tc>
      </w:tr>
      <w:tr w:rsidR="00312E15" w:rsidRPr="00967577" w:rsidTr="00DA3CB7">
        <w:trPr>
          <w:gridAfter w:val="2"/>
          <w:wAfter w:w="153" w:type="dxa"/>
        </w:trPr>
        <w:tc>
          <w:tcPr>
            <w:tcW w:w="15620" w:type="dxa"/>
            <w:gridSpan w:val="24"/>
          </w:tcPr>
          <w:p w:rsidR="00312E15" w:rsidRPr="005305D2" w:rsidRDefault="00312E15">
            <w:pPr>
              <w:rPr>
                <w:b/>
              </w:rPr>
            </w:pPr>
            <w:r w:rsidRPr="005305D2">
              <w:rPr>
                <w:b/>
              </w:rPr>
              <w:t>6.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12E15" w:rsidRPr="00B45FD0" w:rsidTr="00DA3CB7">
        <w:trPr>
          <w:gridAfter w:val="2"/>
          <w:wAfter w:w="153" w:type="dxa"/>
        </w:trPr>
        <w:tc>
          <w:tcPr>
            <w:tcW w:w="15620" w:type="dxa"/>
            <w:gridSpan w:val="24"/>
          </w:tcPr>
          <w:p w:rsidR="00312E15" w:rsidRPr="00B45FD0" w:rsidRDefault="00312E15" w:rsidP="00DE1CB6">
            <w:r w:rsidRPr="00484E01">
              <w:t xml:space="preserve">На территории города расположено </w:t>
            </w:r>
            <w:r>
              <w:t xml:space="preserve"> 528 </w:t>
            </w:r>
            <w:r w:rsidRPr="00484E01">
              <w:t xml:space="preserve"> многоквартирных домов общей площадью</w:t>
            </w:r>
            <w:r>
              <w:t xml:space="preserve"> 968,4</w:t>
            </w:r>
            <w:r w:rsidRPr="00484E01">
              <w:t>.</w:t>
            </w:r>
            <w:r>
              <w:t xml:space="preserve"> </w:t>
            </w:r>
            <w:r w:rsidRPr="00484E01">
              <w:t xml:space="preserve"> кв. метров. Управлени</w:t>
            </w:r>
            <w:r>
              <w:t xml:space="preserve">е жилищным фондом осуществляют 7 </w:t>
            </w:r>
            <w:r w:rsidRPr="00484E01">
              <w:t>управляющих компаний</w:t>
            </w:r>
            <w:r>
              <w:t xml:space="preserve"> </w:t>
            </w:r>
            <w:r w:rsidRPr="00484E01">
              <w:t xml:space="preserve">и </w:t>
            </w:r>
            <w:r>
              <w:t xml:space="preserve">8 </w:t>
            </w:r>
            <w:r w:rsidRPr="00484E01">
              <w:t>ТСЖ.</w:t>
            </w:r>
            <w:r>
              <w:t xml:space="preserve">  </w:t>
            </w:r>
            <w:r w:rsidRPr="00B45FD0">
              <w:t>Деятельность организаций, управляющих многоквартирными жилыми домами, в первую очередь должна быть направлена на обеспечение безопасных, комфортных условий проживания граждан, а также на обеспечение открытости, прозрачности деятельности по управлению домами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</w:t>
            </w:r>
            <w:r>
              <w:t>ства РФ от 23.09.2010 года</w:t>
            </w:r>
            <w:r w:rsidRPr="00B45FD0">
              <w:t>.</w:t>
            </w:r>
            <w:r w:rsidR="00DE1CB6">
              <w:t xml:space="preserve"> </w:t>
            </w:r>
            <w:r w:rsidRPr="00B45FD0">
              <w:t xml:space="preserve">Проблемами развития рынка услуг ЖКХ являются: высокий износ инженерных сетей (усредненный показатель более 55%), низкая обеспеченность квалифицированными кадрами, неэффективная система управления предприятиями жилищно-коммунального комплекса, что в совокупности делает этот рынок непривлекательным </w:t>
            </w:r>
            <w:r w:rsidRPr="00B45FD0">
              <w:lastRenderedPageBreak/>
              <w:t>для инвесторов, массовое несоблюдение управляющими организациями требований действующего законодательства по обеспечению прозрачности своей деятел</w:t>
            </w:r>
            <w:r>
              <w:t>ьности</w:t>
            </w:r>
          </w:p>
        </w:tc>
      </w:tr>
      <w:tr w:rsidR="00312E15" w:rsidRPr="00B45FD0" w:rsidTr="00DA3CB7">
        <w:trPr>
          <w:gridAfter w:val="2"/>
          <w:wAfter w:w="153" w:type="dxa"/>
        </w:trPr>
        <w:tc>
          <w:tcPr>
            <w:tcW w:w="623" w:type="dxa"/>
            <w:tcBorders>
              <w:bottom w:val="single" w:sz="4" w:space="0" w:color="auto"/>
            </w:tcBorders>
          </w:tcPr>
          <w:p w:rsidR="00312E15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2E15" w:rsidRPr="00B45FD0" w:rsidRDefault="00312E15" w:rsidP="003512A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Внесение информации в ГИС ЖКХ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12E15" w:rsidRPr="00B45FD0" w:rsidRDefault="00312E15" w:rsidP="003512A4">
            <w:pPr>
              <w:pStyle w:val="ConsPlusNormal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vMerge w:val="restart"/>
          </w:tcPr>
          <w:p w:rsidR="00312E15" w:rsidRPr="00BA0E0F" w:rsidRDefault="00312E15" w:rsidP="00371D71">
            <w:pPr>
              <w:jc w:val="center"/>
            </w:pPr>
            <w:r w:rsidRPr="00636C81"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  <w:vMerge w:val="restart"/>
          </w:tcPr>
          <w:p w:rsidR="00312E15" w:rsidRPr="00BA0E0F" w:rsidRDefault="00312E15" w:rsidP="00371D71">
            <w:pPr>
              <w:jc w:val="center"/>
            </w:pPr>
            <w:r w:rsidRPr="00AB54D7">
              <w:t>проценты</w:t>
            </w:r>
          </w:p>
          <w:p w:rsidR="00312E15" w:rsidRPr="00BA0E0F" w:rsidRDefault="00312E15" w:rsidP="00371D71">
            <w:pPr>
              <w:jc w:val="center"/>
            </w:pPr>
          </w:p>
        </w:tc>
        <w:tc>
          <w:tcPr>
            <w:tcW w:w="776" w:type="dxa"/>
            <w:gridSpan w:val="2"/>
            <w:vMerge w:val="restart"/>
          </w:tcPr>
          <w:p w:rsidR="00312E15" w:rsidRPr="00BA0E0F" w:rsidRDefault="00312E15" w:rsidP="00371D71">
            <w:r>
              <w:t>100</w:t>
            </w:r>
          </w:p>
        </w:tc>
        <w:tc>
          <w:tcPr>
            <w:tcW w:w="868" w:type="dxa"/>
            <w:gridSpan w:val="3"/>
            <w:vMerge w:val="restart"/>
          </w:tcPr>
          <w:p w:rsidR="00312E15" w:rsidRPr="00BA0E0F" w:rsidRDefault="00312E15" w:rsidP="00371D71">
            <w:r>
              <w:t>100</w:t>
            </w:r>
          </w:p>
        </w:tc>
        <w:tc>
          <w:tcPr>
            <w:tcW w:w="1312" w:type="dxa"/>
            <w:gridSpan w:val="7"/>
            <w:vMerge w:val="restart"/>
          </w:tcPr>
          <w:p w:rsidR="00312E15" w:rsidRPr="00BA0E0F" w:rsidRDefault="00312E15" w:rsidP="00371D71">
            <w:r>
              <w:t>100/100</w:t>
            </w:r>
          </w:p>
        </w:tc>
        <w:tc>
          <w:tcPr>
            <w:tcW w:w="3560" w:type="dxa"/>
            <w:gridSpan w:val="4"/>
            <w:tcBorders>
              <w:bottom w:val="single" w:sz="4" w:space="0" w:color="auto"/>
            </w:tcBorders>
          </w:tcPr>
          <w:p w:rsidR="00312E15" w:rsidRPr="0001284D" w:rsidRDefault="00312E15" w:rsidP="00C02A17">
            <w:pPr>
              <w:jc w:val="both"/>
            </w:pPr>
            <w:r w:rsidRPr="0001284D">
              <w:t>Вся информация о деятельности организаций осуществляющих свою деятельность в сфере управления многоквартирными домами размещается на официальных с</w:t>
            </w:r>
            <w:r>
              <w:t>айтах «Реформа ЖКХ» и «ГИС ЖКХ»</w:t>
            </w:r>
            <w:r w:rsidR="00E120F4">
              <w:t>.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</w:tcPr>
          <w:p w:rsidR="00312E15" w:rsidRPr="00B45FD0" w:rsidRDefault="00312E15" w:rsidP="00AE74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актуальной информации</w:t>
            </w:r>
            <w:r w:rsidR="00DD5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12E15" w:rsidRPr="00AB6F46" w:rsidTr="00DA3CB7">
        <w:trPr>
          <w:gridAfter w:val="2"/>
          <w:wAfter w:w="153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A0E0F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45FD0" w:rsidRDefault="00312E15" w:rsidP="003512A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мониторинга работы муниципального жилищного контроля.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15" w:rsidRPr="00B45FD0" w:rsidRDefault="00312E15" w:rsidP="003823BF">
            <w:pPr>
              <w:pStyle w:val="ConsPlusNormal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vMerge/>
          </w:tcPr>
          <w:p w:rsidR="00312E15" w:rsidRPr="00AB6F46" w:rsidRDefault="00312E15" w:rsidP="00371D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2E15" w:rsidRPr="00AB6F46" w:rsidRDefault="00312E15" w:rsidP="00371D71">
            <w:pPr>
              <w:jc w:val="center"/>
            </w:pPr>
          </w:p>
        </w:tc>
        <w:tc>
          <w:tcPr>
            <w:tcW w:w="776" w:type="dxa"/>
            <w:gridSpan w:val="2"/>
            <w:vMerge/>
            <w:tcBorders>
              <w:bottom w:val="single" w:sz="4" w:space="0" w:color="auto"/>
            </w:tcBorders>
          </w:tcPr>
          <w:p w:rsidR="00312E15" w:rsidRPr="00AB6F46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vMerge/>
            <w:tcBorders>
              <w:bottom w:val="single" w:sz="4" w:space="0" w:color="auto"/>
            </w:tcBorders>
          </w:tcPr>
          <w:p w:rsidR="00312E15" w:rsidRPr="00AB6F46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7"/>
            <w:vMerge/>
            <w:tcBorders>
              <w:bottom w:val="single" w:sz="4" w:space="0" w:color="auto"/>
            </w:tcBorders>
          </w:tcPr>
          <w:p w:rsidR="00312E15" w:rsidRPr="00AB6F46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45FD0" w:rsidRDefault="00312E15" w:rsidP="00EB536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2020 года проверки не проводились в связи с ограничениями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короновирусу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 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45FD0" w:rsidRDefault="00312E15" w:rsidP="0080469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ответственности управляющих организаций и улучшение качества предоставления ЖК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DD5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12E15" w:rsidTr="00DA3CB7">
        <w:trPr>
          <w:gridAfter w:val="1"/>
          <w:wAfter w:w="90" w:type="dxa"/>
        </w:trPr>
        <w:tc>
          <w:tcPr>
            <w:tcW w:w="15683" w:type="dxa"/>
            <w:gridSpan w:val="25"/>
          </w:tcPr>
          <w:p w:rsidR="00312E15" w:rsidRPr="00826754" w:rsidRDefault="00312E15" w:rsidP="00371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26754">
              <w:rPr>
                <w:b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312E15" w:rsidRPr="00B45FD0" w:rsidTr="00DA3CB7">
        <w:trPr>
          <w:gridAfter w:val="1"/>
          <w:wAfter w:w="90" w:type="dxa"/>
        </w:trPr>
        <w:tc>
          <w:tcPr>
            <w:tcW w:w="15683" w:type="dxa"/>
            <w:gridSpan w:val="25"/>
          </w:tcPr>
          <w:p w:rsidR="00312E15" w:rsidRPr="00B45FD0" w:rsidRDefault="00312E15" w:rsidP="005B480E">
            <w:pPr>
              <w:jc w:val="both"/>
            </w:pPr>
            <w:r w:rsidRPr="00B45FD0">
              <w:t>В настоящее время рынок пассажирских перевозок автомобильным транспортом является конкурентным.</w:t>
            </w:r>
            <w:r>
              <w:t xml:space="preserve"> Д</w:t>
            </w:r>
            <w:r w:rsidRPr="00B45FD0">
              <w:t>оля негосударственных (немуниципальных) перевозчиков на муниципальных маршрутах пассажирского автомобильного транспорта от общего числа перевозчиков на муниципальных маршрутах пассажирского автомобильного транспорта  составила 100%.</w:t>
            </w:r>
            <w:r>
              <w:t xml:space="preserve"> </w:t>
            </w:r>
            <w:r w:rsidRPr="00B45FD0">
              <w:t>По муниципальным маршрутам перевозки пассажиров и багажа осуществляют 2 юридических лица. Субъекты предпринимательской деятельности привлекаются к регулярным перевозкам по муниципальным маршрутам на конкурсной основе.</w:t>
            </w:r>
          </w:p>
        </w:tc>
      </w:tr>
      <w:tr w:rsidR="00312E15" w:rsidRPr="00B45FD0" w:rsidTr="00DA3CB7">
        <w:trPr>
          <w:gridAfter w:val="1"/>
          <w:wAfter w:w="90" w:type="dxa"/>
        </w:trPr>
        <w:tc>
          <w:tcPr>
            <w:tcW w:w="623" w:type="dxa"/>
            <w:tcBorders>
              <w:bottom w:val="single" w:sz="4" w:space="0" w:color="auto"/>
            </w:tcBorders>
          </w:tcPr>
          <w:p w:rsidR="00312E15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2E15" w:rsidRPr="00B45FD0" w:rsidRDefault="00312E15" w:rsidP="00DE130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осуществление муниципальной закупки с целью заключения муниципального контракта на право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осуществления перевозок пассажиров по регулируемым тарифам по муниципальному маршру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12E15" w:rsidRPr="00B45FD0" w:rsidRDefault="00312E15" w:rsidP="0041591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2020 год</w:t>
            </w:r>
          </w:p>
        </w:tc>
        <w:tc>
          <w:tcPr>
            <w:tcW w:w="1417" w:type="dxa"/>
            <w:vMerge w:val="restart"/>
          </w:tcPr>
          <w:p w:rsidR="00312E15" w:rsidRPr="00BA0E0F" w:rsidRDefault="00312E15" w:rsidP="00371D71">
            <w:pPr>
              <w:jc w:val="center"/>
            </w:pPr>
            <w:r w:rsidRPr="00636C81">
              <w:t>доля услуг (работ) по перевозке пассажиров автомобильным транспорто</w:t>
            </w:r>
            <w:r w:rsidRPr="00636C81">
              <w:lastRenderedPageBreak/>
              <w:t>м по муниципальным маршрутам регулярных перевозок, оказанных (выполненных) организациями частной формы собственности</w:t>
            </w:r>
          </w:p>
          <w:p w:rsidR="00312E15" w:rsidRPr="00BA0E0F" w:rsidRDefault="00312E15" w:rsidP="00371D7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312E15" w:rsidRPr="00BA0E0F" w:rsidRDefault="00312E15" w:rsidP="00371D71">
            <w:pPr>
              <w:jc w:val="center"/>
            </w:pPr>
            <w:r w:rsidRPr="00AB54D7">
              <w:lastRenderedPageBreak/>
              <w:t>проценты</w:t>
            </w:r>
          </w:p>
          <w:p w:rsidR="00312E15" w:rsidRPr="00BA0E0F" w:rsidRDefault="00312E15" w:rsidP="00371D71">
            <w:pPr>
              <w:jc w:val="center"/>
            </w:pPr>
          </w:p>
        </w:tc>
        <w:tc>
          <w:tcPr>
            <w:tcW w:w="776" w:type="dxa"/>
            <w:gridSpan w:val="2"/>
            <w:vMerge w:val="restart"/>
          </w:tcPr>
          <w:p w:rsidR="00312E15" w:rsidRPr="00B45FD0" w:rsidRDefault="00312E15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:rsidR="00312E15" w:rsidRPr="00B45FD0" w:rsidRDefault="00312E15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68" w:type="dxa"/>
            <w:gridSpan w:val="3"/>
            <w:vMerge w:val="restart"/>
          </w:tcPr>
          <w:p w:rsidR="00312E15" w:rsidRPr="00B45FD0" w:rsidRDefault="00312E15" w:rsidP="0002138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100</w:t>
            </w:r>
          </w:p>
        </w:tc>
        <w:tc>
          <w:tcPr>
            <w:tcW w:w="1170" w:type="dxa"/>
            <w:gridSpan w:val="6"/>
            <w:vMerge w:val="restart"/>
          </w:tcPr>
          <w:p w:rsidR="00312E15" w:rsidRDefault="00312E15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2E15" w:rsidRPr="00253B4F" w:rsidRDefault="00312E15" w:rsidP="00253B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100/100</w:t>
            </w:r>
          </w:p>
        </w:tc>
        <w:tc>
          <w:tcPr>
            <w:tcW w:w="3620" w:type="dxa"/>
            <w:gridSpan w:val="4"/>
            <w:tcBorders>
              <w:bottom w:val="single" w:sz="4" w:space="0" w:color="auto"/>
            </w:tcBorders>
          </w:tcPr>
          <w:p w:rsidR="00312E15" w:rsidRDefault="00312E15" w:rsidP="005B480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Заключен муниципальный контракт №012030018220000038 от 06.04.2020 г. (срок действия 31.07.20), заключен муниципальный контракт №82 от 07.08.2020г. (срок действия 19.09.20)</w:t>
            </w:r>
          </w:p>
          <w:p w:rsidR="00312E15" w:rsidRDefault="00312E15" w:rsidP="005B480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6D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Контракт №142 от 20.11.2020. </w:t>
            </w:r>
          </w:p>
          <w:p w:rsidR="00312E15" w:rsidRDefault="00312E15" w:rsidP="005B480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6D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действия до 20.12.2020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12E15" w:rsidRPr="00B45FD0" w:rsidRDefault="00312E15" w:rsidP="00EB536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gridSpan w:val="4"/>
            <w:tcBorders>
              <w:bottom w:val="single" w:sz="4" w:space="0" w:color="auto"/>
            </w:tcBorders>
          </w:tcPr>
          <w:p w:rsidR="00312E15" w:rsidRPr="00B45FD0" w:rsidRDefault="00312E15" w:rsidP="0080469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Заключение муниципального контракта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право осуществления перевозок пассажиров по регулируем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ым тарифам.</w:t>
            </w:r>
          </w:p>
        </w:tc>
      </w:tr>
      <w:tr w:rsidR="00312E15" w:rsidRPr="00B45FD0" w:rsidTr="00DA3CB7">
        <w:trPr>
          <w:gridAfter w:val="1"/>
          <w:wAfter w:w="90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A0E0F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45FD0" w:rsidRDefault="00312E15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городского открытого конкурса на право получения свидетельства об осуществлении перевозок по муниципальным маршрутам автомобильного транспорта с нерегулируемым тариф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15" w:rsidRPr="00B45FD0" w:rsidRDefault="00312E15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vMerge/>
          </w:tcPr>
          <w:p w:rsidR="00312E15" w:rsidRPr="00AB6F46" w:rsidRDefault="00312E15" w:rsidP="00371D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2E15" w:rsidRPr="00AB6F46" w:rsidRDefault="00312E15" w:rsidP="00371D71">
            <w:pPr>
              <w:jc w:val="center"/>
            </w:pPr>
          </w:p>
        </w:tc>
        <w:tc>
          <w:tcPr>
            <w:tcW w:w="776" w:type="dxa"/>
            <w:gridSpan w:val="2"/>
            <w:vMerge/>
            <w:tcBorders>
              <w:bottom w:val="single" w:sz="4" w:space="0" w:color="auto"/>
            </w:tcBorders>
          </w:tcPr>
          <w:p w:rsidR="00312E15" w:rsidRPr="00AB6F46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vMerge/>
            <w:tcBorders>
              <w:bottom w:val="single" w:sz="4" w:space="0" w:color="auto"/>
            </w:tcBorders>
          </w:tcPr>
          <w:p w:rsidR="00312E15" w:rsidRPr="00AB6F46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vMerge/>
            <w:tcBorders>
              <w:bottom w:val="single" w:sz="4" w:space="0" w:color="auto"/>
            </w:tcBorders>
          </w:tcPr>
          <w:p w:rsidR="00312E15" w:rsidRPr="00AB6F46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AB6F46" w:rsidRDefault="00312E15" w:rsidP="00804693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По результатам открытого конкурса, проведенного 2016 г. действуют до 2021 года.  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45FD0" w:rsidRDefault="00312E15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свидетельства на осуществление перевозок пассажиров по нерегулируемым тарифам</w:t>
            </w:r>
            <w:r w:rsidR="00DD5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12E15" w:rsidRPr="00B45FD0" w:rsidTr="00DA3CB7">
        <w:trPr>
          <w:gridAfter w:val="1"/>
          <w:wAfter w:w="90" w:type="dxa"/>
          <w:trHeight w:val="33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E15" w:rsidRDefault="00312E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E15" w:rsidRPr="00B45FD0" w:rsidRDefault="00312E15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FD0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с </w:t>
            </w:r>
            <w:proofErr w:type="gramStart"/>
            <w:r w:rsidRPr="00B45FD0">
              <w:rPr>
                <w:rFonts w:ascii="Times New Roman" w:hAnsi="Times New Roman"/>
                <w:sz w:val="24"/>
                <w:szCs w:val="24"/>
              </w:rPr>
              <w:t>юридическими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FD0">
              <w:rPr>
                <w:rFonts w:ascii="Times New Roman" w:hAnsi="Times New Roman"/>
                <w:sz w:val="24"/>
                <w:szCs w:val="24"/>
              </w:rPr>
              <w:t>лицам по вопросам организации регулярных перевозок пассажиров автомобильным транспортом по муниципальным маршрутам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E15" w:rsidRPr="00B45FD0" w:rsidRDefault="00312E15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vMerge/>
          </w:tcPr>
          <w:p w:rsidR="00312E15" w:rsidRPr="00BA0E0F" w:rsidRDefault="00312E15" w:rsidP="00371D71">
            <w:pPr>
              <w:jc w:val="center"/>
            </w:pPr>
          </w:p>
        </w:tc>
        <w:tc>
          <w:tcPr>
            <w:tcW w:w="1276" w:type="dxa"/>
          </w:tcPr>
          <w:p w:rsidR="00312E15" w:rsidRPr="00BA0E0F" w:rsidRDefault="00312E15" w:rsidP="00371D71">
            <w:pPr>
              <w:jc w:val="center"/>
            </w:pP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312E15" w:rsidRPr="00BA0E0F" w:rsidRDefault="00312E15" w:rsidP="00371D71"/>
        </w:tc>
        <w:tc>
          <w:tcPr>
            <w:tcW w:w="868" w:type="dxa"/>
            <w:gridSpan w:val="3"/>
            <w:tcBorders>
              <w:bottom w:val="single" w:sz="4" w:space="0" w:color="auto"/>
            </w:tcBorders>
          </w:tcPr>
          <w:p w:rsidR="00312E15" w:rsidRPr="00BA0E0F" w:rsidRDefault="00312E15" w:rsidP="00371D71"/>
        </w:tc>
        <w:tc>
          <w:tcPr>
            <w:tcW w:w="1170" w:type="dxa"/>
            <w:gridSpan w:val="6"/>
          </w:tcPr>
          <w:p w:rsidR="00312E15" w:rsidRPr="00253B4F" w:rsidRDefault="00312E15" w:rsidP="00253B4F"/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E15" w:rsidRPr="00371D71" w:rsidRDefault="00312E15" w:rsidP="00696914">
            <w:r>
              <w:t>Консультативная помощь оказывается</w:t>
            </w:r>
            <w:r w:rsidR="00E120F4">
              <w:t>.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E15" w:rsidRPr="00371D71" w:rsidRDefault="00312E15" w:rsidP="00415917">
            <w:r w:rsidRPr="00B45FD0">
              <w:t xml:space="preserve">Оказание консультативной </w:t>
            </w:r>
            <w:r w:rsidRPr="008C1775">
              <w:t>помощи</w:t>
            </w:r>
            <w:r w:rsidR="00DD556F">
              <w:t>.</w:t>
            </w:r>
          </w:p>
        </w:tc>
      </w:tr>
      <w:tr w:rsidR="00312E15" w:rsidRPr="00826754" w:rsidTr="00DA3CB7">
        <w:trPr>
          <w:gridAfter w:val="1"/>
          <w:wAfter w:w="90" w:type="dxa"/>
        </w:trPr>
        <w:tc>
          <w:tcPr>
            <w:tcW w:w="15683" w:type="dxa"/>
            <w:gridSpan w:val="25"/>
          </w:tcPr>
          <w:p w:rsidR="00312E15" w:rsidRPr="008614C8" w:rsidRDefault="00312E15" w:rsidP="003823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5004">
              <w:rPr>
                <w:b/>
              </w:rPr>
              <w:t>8. Рынок дорожной деятельности (за исключением проектирования)</w:t>
            </w:r>
          </w:p>
        </w:tc>
      </w:tr>
      <w:tr w:rsidR="00312E15" w:rsidRPr="00B45FD0" w:rsidTr="00DA3CB7">
        <w:trPr>
          <w:gridAfter w:val="1"/>
          <w:wAfter w:w="90" w:type="dxa"/>
        </w:trPr>
        <w:tc>
          <w:tcPr>
            <w:tcW w:w="15683" w:type="dxa"/>
            <w:gridSpan w:val="25"/>
          </w:tcPr>
          <w:p w:rsidR="00312E15" w:rsidRPr="008614C8" w:rsidRDefault="00312E15" w:rsidP="00924606">
            <w:r>
              <w:rPr>
                <w:sz w:val="26"/>
                <w:szCs w:val="26"/>
              </w:rPr>
              <w:lastRenderedPageBreak/>
              <w:t xml:space="preserve">             </w:t>
            </w:r>
            <w:r w:rsidRPr="008614C8">
              <w:t xml:space="preserve">Общая протяженность сети автомобильных дорог общего пользования на территории городского округа Спасск-Дальний составляет </w:t>
            </w:r>
            <w:smartTag w:uri="urn:schemas-microsoft-com:office:smarttags" w:element="metricconverter">
              <w:smartTagPr>
                <w:attr w:name="ProductID" w:val="155,3 км"/>
              </w:smartTagPr>
              <w:r w:rsidRPr="008614C8">
                <w:t>155,3 км</w:t>
              </w:r>
            </w:smartTag>
            <w:r w:rsidRPr="008614C8">
              <w:t xml:space="preserve"> и внутриквартальных проездов 39,2 км.  Общая протяженность отремонтированных дорог  за 20</w:t>
            </w:r>
            <w:r>
              <w:t>20</w:t>
            </w:r>
            <w:r w:rsidRPr="008614C8">
              <w:t xml:space="preserve">  год составила </w:t>
            </w:r>
            <w:r>
              <w:t>12,016</w:t>
            </w:r>
            <w:r w:rsidRPr="008614C8">
              <w:t xml:space="preserve"> км. В 20</w:t>
            </w:r>
            <w:r>
              <w:t>21</w:t>
            </w:r>
            <w:r w:rsidRPr="008614C8">
              <w:t xml:space="preserve"> году планируется отремонтировать  </w:t>
            </w:r>
            <w:r>
              <w:t>5,3</w:t>
            </w:r>
            <w:r w:rsidRPr="008614C8">
              <w:t xml:space="preserve"> км.  В настоящее время рынок выполнения работ по   ремонту улично-дорожной сети  на территории городского округа Спасск-Дальний  является </w:t>
            </w:r>
            <w:proofErr w:type="gramStart"/>
            <w:r w:rsidRPr="008614C8">
              <w:t>достаточно конкурентным</w:t>
            </w:r>
            <w:proofErr w:type="gramEnd"/>
            <w:r w:rsidRPr="008614C8">
              <w:t>. Все работы проводятся на конкурсной основе</w:t>
            </w:r>
            <w:r>
              <w:t>.</w:t>
            </w:r>
          </w:p>
        </w:tc>
      </w:tr>
      <w:tr w:rsidR="00312E15" w:rsidRPr="00B45FD0" w:rsidTr="00DA3CB7">
        <w:tc>
          <w:tcPr>
            <w:tcW w:w="623" w:type="dxa"/>
            <w:tcBorders>
              <w:bottom w:val="single" w:sz="4" w:space="0" w:color="auto"/>
            </w:tcBorders>
          </w:tcPr>
          <w:p w:rsidR="00312E15" w:rsidRDefault="00312E15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2E15" w:rsidRPr="00B45FD0" w:rsidRDefault="00312E15" w:rsidP="0080469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информации об определении поставщика (подрядчика, исполнителя) в информационно-телекоммуникационной сети Интернет в соответствии с действующим законодательством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12E15" w:rsidRPr="00B45FD0" w:rsidRDefault="00312E15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vMerge w:val="restart"/>
          </w:tcPr>
          <w:p w:rsidR="00312E15" w:rsidRPr="00BA0E0F" w:rsidRDefault="00312E15" w:rsidP="00E2049E">
            <w:pPr>
              <w:jc w:val="both"/>
            </w:pPr>
            <w:r w:rsidRPr="00636C81"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276" w:type="dxa"/>
            <w:vMerge w:val="restart"/>
          </w:tcPr>
          <w:p w:rsidR="00312E15" w:rsidRPr="00BA0E0F" w:rsidRDefault="00312E15" w:rsidP="003823BF">
            <w:pPr>
              <w:jc w:val="center"/>
            </w:pPr>
            <w:r w:rsidRPr="00AB54D7">
              <w:t>проценты</w:t>
            </w:r>
          </w:p>
          <w:p w:rsidR="00312E15" w:rsidRPr="00BA0E0F" w:rsidRDefault="00312E15" w:rsidP="003823BF">
            <w:pPr>
              <w:jc w:val="center"/>
            </w:pPr>
          </w:p>
        </w:tc>
        <w:tc>
          <w:tcPr>
            <w:tcW w:w="776" w:type="dxa"/>
            <w:gridSpan w:val="2"/>
            <w:vMerge w:val="restart"/>
          </w:tcPr>
          <w:p w:rsidR="00312E15" w:rsidRPr="00B45FD0" w:rsidRDefault="00312E15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:rsidR="00312E15" w:rsidRPr="00B45FD0" w:rsidRDefault="00312E15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26" w:type="dxa"/>
            <w:gridSpan w:val="2"/>
            <w:vMerge w:val="restart"/>
          </w:tcPr>
          <w:p w:rsidR="00312E15" w:rsidRDefault="00312E15" w:rsidP="002C5CD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2E15" w:rsidRPr="00B45FD0" w:rsidRDefault="00312E15" w:rsidP="002C5CD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 </w:t>
            </w:r>
          </w:p>
          <w:p w:rsidR="00312E15" w:rsidRPr="00B45FD0" w:rsidRDefault="00312E15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71" w:type="dxa"/>
            <w:gridSpan w:val="6"/>
            <w:vMerge w:val="restart"/>
          </w:tcPr>
          <w:p w:rsidR="00312E15" w:rsidRDefault="00312E15" w:rsidP="00B4360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2E15" w:rsidRPr="00B45FD0" w:rsidRDefault="00312E15" w:rsidP="00B4360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100/100</w:t>
            </w:r>
          </w:p>
        </w:tc>
        <w:tc>
          <w:tcPr>
            <w:tcW w:w="3963" w:type="dxa"/>
            <w:gridSpan w:val="7"/>
            <w:tcBorders>
              <w:bottom w:val="single" w:sz="4" w:space="0" w:color="auto"/>
            </w:tcBorders>
          </w:tcPr>
          <w:p w:rsidR="00312E15" w:rsidRPr="00B45FD0" w:rsidRDefault="00312E15" w:rsidP="00C02A1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мероприятий отражается в отчете по национальным проектам. Отчет размещен на официальном сайте администрации городского округа Спасск-Дальний в разделе национальные проекты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</w:tcPr>
          <w:p w:rsidR="00312E15" w:rsidRPr="00B45FD0" w:rsidRDefault="00312E15" w:rsidP="00E204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r w:rsidRPr="00B45FD0">
              <w:rPr>
                <w:rFonts w:ascii="Times New Roman" w:hAnsi="Times New Roman"/>
                <w:sz w:val="24"/>
                <w:szCs w:val="24"/>
              </w:rPr>
              <w:t xml:space="preserve">организаций частной формы собственности в выполнении работ </w:t>
            </w:r>
            <w:r>
              <w:rPr>
                <w:rFonts w:ascii="Times New Roman" w:hAnsi="Times New Roman"/>
                <w:sz w:val="24"/>
                <w:szCs w:val="24"/>
              </w:rPr>
              <w:t>по ремонту улично-дорожной сети</w:t>
            </w:r>
            <w:r w:rsidR="00DD5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2E15" w:rsidRPr="00B45FD0" w:rsidTr="00DA3CB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A0E0F" w:rsidRDefault="00312E15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45FD0" w:rsidRDefault="00312E15" w:rsidP="0080469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Информирование потенциальных участников о реализации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рамках государственной программы «Безопасные и качественные  дороги»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15" w:rsidRPr="00B45FD0" w:rsidRDefault="00312E15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vMerge/>
          </w:tcPr>
          <w:p w:rsidR="00312E15" w:rsidRPr="00AB6F46" w:rsidRDefault="00312E15" w:rsidP="003823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2E15" w:rsidRPr="00AB6F46" w:rsidRDefault="00312E15" w:rsidP="003823BF">
            <w:pPr>
              <w:jc w:val="center"/>
            </w:pPr>
          </w:p>
        </w:tc>
        <w:tc>
          <w:tcPr>
            <w:tcW w:w="776" w:type="dxa"/>
            <w:gridSpan w:val="2"/>
            <w:vMerge/>
            <w:tcBorders>
              <w:bottom w:val="single" w:sz="4" w:space="0" w:color="auto"/>
            </w:tcBorders>
          </w:tcPr>
          <w:p w:rsidR="00312E15" w:rsidRPr="00AB6F46" w:rsidRDefault="00312E15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/>
            <w:tcBorders>
              <w:bottom w:val="single" w:sz="4" w:space="0" w:color="auto"/>
            </w:tcBorders>
          </w:tcPr>
          <w:p w:rsidR="00312E15" w:rsidRPr="00AB6F46" w:rsidRDefault="00312E15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6"/>
            <w:vMerge/>
            <w:tcBorders>
              <w:bottom w:val="single" w:sz="4" w:space="0" w:color="auto"/>
            </w:tcBorders>
          </w:tcPr>
          <w:p w:rsidR="00312E15" w:rsidRPr="00AB6F46" w:rsidRDefault="00312E15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AB6F46" w:rsidRDefault="00312E15" w:rsidP="00057C77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Информация размещается в итогах социально-экономического развития городского округа Спасск-Дальний на официальном сайте Администрации городского округа Спасск-Дальний в разделе  администрация – экономика – итоги социально-экономического развития.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45FD0" w:rsidRDefault="00312E15" w:rsidP="00E204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 w:rsidRPr="00B45FD0">
              <w:rPr>
                <w:rFonts w:ascii="Times New Roman" w:hAnsi="Times New Roman"/>
                <w:sz w:val="24"/>
                <w:szCs w:val="24"/>
              </w:rPr>
              <w:t xml:space="preserve"> организаций частной формы собственности в выполнении работ </w:t>
            </w:r>
            <w:r>
              <w:rPr>
                <w:rFonts w:ascii="Times New Roman" w:hAnsi="Times New Roman"/>
                <w:sz w:val="24"/>
                <w:szCs w:val="24"/>
              </w:rPr>
              <w:t>по ремонту улично-дорожной сети</w:t>
            </w:r>
            <w:r w:rsidR="00DD5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2E15" w:rsidRPr="008614C8" w:rsidTr="00DA3CB7">
        <w:tc>
          <w:tcPr>
            <w:tcW w:w="15773" w:type="dxa"/>
            <w:gridSpan w:val="26"/>
          </w:tcPr>
          <w:p w:rsidR="00312E15" w:rsidRPr="005305D2" w:rsidRDefault="00312E15" w:rsidP="003823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305D2">
              <w:rPr>
                <w:b/>
              </w:rPr>
              <w:t>. Рынок ритуальных услуг</w:t>
            </w:r>
          </w:p>
        </w:tc>
      </w:tr>
      <w:tr w:rsidR="00312E15" w:rsidRPr="008614C8" w:rsidTr="00DA3CB7">
        <w:tc>
          <w:tcPr>
            <w:tcW w:w="15773" w:type="dxa"/>
            <w:gridSpan w:val="26"/>
          </w:tcPr>
          <w:p w:rsidR="00312E15" w:rsidRDefault="00312E15" w:rsidP="005B480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 территории городского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Спасск-дальний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ритуальные услуги оказывают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5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частных организаций и 1 муниципальное </w:t>
            </w:r>
            <w:proofErr w:type="gramStart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учреждение</w:t>
            </w:r>
            <w:proofErr w:type="gramEnd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МУП «Городской рынок»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которое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является специализированной службой по вопросам захоронения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которое также занимается содержанием мест захоронений на территории города, подъездных путей и прилегающей территории. </w:t>
            </w:r>
          </w:p>
          <w:p w:rsidR="00312E15" w:rsidRPr="008614C8" w:rsidRDefault="00312E15" w:rsidP="005B480E">
            <w:r w:rsidRPr="00B45FD0">
              <w:rPr>
                <w:rFonts w:eastAsia="Calibri"/>
                <w:lang w:eastAsia="en-US"/>
              </w:rPr>
              <w:t>В городе созданы все условия для развития конкуренции на рынке ритуальных услуг. Предприятиями оказывается широкий спектр услуг, который зависит от выбора и уровня обеспеченности клиента.</w:t>
            </w:r>
          </w:p>
        </w:tc>
      </w:tr>
      <w:tr w:rsidR="00312E15" w:rsidRPr="00B45FD0" w:rsidTr="00DA3CB7">
        <w:tc>
          <w:tcPr>
            <w:tcW w:w="623" w:type="dxa"/>
            <w:tcBorders>
              <w:bottom w:val="single" w:sz="4" w:space="0" w:color="auto"/>
            </w:tcBorders>
          </w:tcPr>
          <w:p w:rsidR="00312E15" w:rsidRDefault="00312E15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2E15" w:rsidRPr="00B45FD0" w:rsidRDefault="00312E15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реестра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низаций сферы ритуальных услуг и размещение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официальном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сайте в информационно-телекоммуникационной сети «Интернет»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12E15" w:rsidRPr="00B45FD0" w:rsidRDefault="00312E15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vMerge w:val="restart"/>
          </w:tcPr>
          <w:p w:rsidR="00312E15" w:rsidRPr="00BA0E0F" w:rsidRDefault="00312E15" w:rsidP="003823BF">
            <w:pPr>
              <w:jc w:val="both"/>
            </w:pPr>
            <w:r w:rsidRPr="00DF33AC">
              <w:t>доля организаций частной формы собствен</w:t>
            </w:r>
            <w:r>
              <w:t>ности в сфере ритуальных услуг</w:t>
            </w:r>
          </w:p>
        </w:tc>
        <w:tc>
          <w:tcPr>
            <w:tcW w:w="1276" w:type="dxa"/>
            <w:vMerge w:val="restart"/>
          </w:tcPr>
          <w:p w:rsidR="00312E15" w:rsidRPr="00BA0E0F" w:rsidRDefault="00312E15" w:rsidP="003823BF">
            <w:pPr>
              <w:jc w:val="center"/>
            </w:pPr>
            <w:r w:rsidRPr="00AB54D7">
              <w:t>проценты</w:t>
            </w:r>
          </w:p>
          <w:p w:rsidR="00312E15" w:rsidRPr="00BA0E0F" w:rsidRDefault="00312E15" w:rsidP="003823BF">
            <w:pPr>
              <w:jc w:val="center"/>
            </w:pPr>
          </w:p>
        </w:tc>
        <w:tc>
          <w:tcPr>
            <w:tcW w:w="776" w:type="dxa"/>
            <w:gridSpan w:val="2"/>
            <w:vMerge w:val="restart"/>
          </w:tcPr>
          <w:p w:rsidR="00312E15" w:rsidRPr="00B45FD0" w:rsidRDefault="00312E15" w:rsidP="0002138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183,3 </w:t>
            </w:r>
          </w:p>
          <w:p w:rsidR="00312E15" w:rsidRPr="00B45FD0" w:rsidRDefault="00312E15" w:rsidP="0002138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26" w:type="dxa"/>
            <w:gridSpan w:val="2"/>
            <w:vMerge w:val="restart"/>
          </w:tcPr>
          <w:p w:rsidR="00312E15" w:rsidRPr="00B45FD0" w:rsidRDefault="00312E15" w:rsidP="0002138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183,3 </w:t>
            </w:r>
          </w:p>
          <w:p w:rsidR="00312E15" w:rsidRPr="00B45FD0" w:rsidRDefault="00312E15" w:rsidP="0002138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152" w:type="dxa"/>
            <w:gridSpan w:val="5"/>
            <w:vMerge w:val="restart"/>
          </w:tcPr>
          <w:p w:rsidR="00312E15" w:rsidRDefault="00312E15" w:rsidP="0002138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2E15" w:rsidRPr="00B45FD0" w:rsidRDefault="00312E15" w:rsidP="0002138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83,3/83,3</w:t>
            </w:r>
          </w:p>
        </w:tc>
        <w:tc>
          <w:tcPr>
            <w:tcW w:w="3982" w:type="dxa"/>
            <w:gridSpan w:val="8"/>
            <w:vMerge w:val="restart"/>
          </w:tcPr>
          <w:p w:rsidR="00312E15" w:rsidRDefault="00312E15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Реестр ведется.</w:t>
            </w:r>
          </w:p>
          <w:p w:rsidR="00312E15" w:rsidRPr="00C02A17" w:rsidRDefault="00312E15" w:rsidP="000E054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2A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территории городского округа  Спасск-Дальний  ритуальные услуги оказывают  5  частных организаций и 1 муниципальное </w:t>
            </w:r>
            <w:proofErr w:type="gramStart"/>
            <w:r w:rsidRPr="00C02A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учреждение</w:t>
            </w:r>
            <w:proofErr w:type="gramEnd"/>
            <w:r w:rsidRPr="00C02A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МУП «Городской рынок» </w:t>
            </w:r>
            <w:proofErr w:type="gramStart"/>
            <w:r w:rsidRPr="00C02A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которое</w:t>
            </w:r>
            <w:proofErr w:type="gramEnd"/>
            <w:r w:rsidRPr="00C02A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является специализированной службой по вопросам захоронения, также занимается содержанием мест захоронений на территории города, подъездных путей и прилегающей территории.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</w:tcPr>
          <w:p w:rsidR="00312E15" w:rsidRPr="00B45FD0" w:rsidRDefault="00312E15" w:rsidP="00BE44D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Информированность населения о наличии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4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ритуальных услуг</w:t>
            </w:r>
            <w:r w:rsidR="00DD5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12E15" w:rsidRPr="00B45FD0" w:rsidTr="00DA3CB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A0E0F" w:rsidRDefault="00312E15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45FD0" w:rsidRDefault="00312E15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Удовлетворенность населения предоставляемыми ритуальными услугами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15" w:rsidRPr="00B45FD0" w:rsidRDefault="00312E15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vMerge/>
          </w:tcPr>
          <w:p w:rsidR="00312E15" w:rsidRPr="00AB6F46" w:rsidRDefault="00312E15" w:rsidP="003823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2E15" w:rsidRPr="00AB6F46" w:rsidRDefault="00312E15" w:rsidP="003823BF">
            <w:pPr>
              <w:jc w:val="center"/>
            </w:pPr>
          </w:p>
        </w:tc>
        <w:tc>
          <w:tcPr>
            <w:tcW w:w="776" w:type="dxa"/>
            <w:gridSpan w:val="2"/>
            <w:vMerge/>
            <w:tcBorders>
              <w:bottom w:val="single" w:sz="4" w:space="0" w:color="auto"/>
            </w:tcBorders>
          </w:tcPr>
          <w:p w:rsidR="00312E15" w:rsidRPr="00AB6F46" w:rsidRDefault="00312E15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/>
            <w:tcBorders>
              <w:bottom w:val="single" w:sz="4" w:space="0" w:color="auto"/>
            </w:tcBorders>
          </w:tcPr>
          <w:p w:rsidR="00312E15" w:rsidRPr="00AB6F46" w:rsidRDefault="00312E15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5"/>
            <w:vMerge/>
            <w:tcBorders>
              <w:bottom w:val="single" w:sz="4" w:space="0" w:color="auto"/>
            </w:tcBorders>
          </w:tcPr>
          <w:p w:rsidR="00312E15" w:rsidRPr="00AB6F46" w:rsidRDefault="00312E15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gridSpan w:val="8"/>
            <w:vMerge/>
            <w:tcBorders>
              <w:bottom w:val="single" w:sz="4" w:space="0" w:color="auto"/>
            </w:tcBorders>
          </w:tcPr>
          <w:p w:rsidR="00312E15" w:rsidRPr="00AB6F46" w:rsidRDefault="00312E15" w:rsidP="003823BF">
            <w:pPr>
              <w:rPr>
                <w:color w:val="000000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45FD0" w:rsidRDefault="00312E15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качества услуг</w:t>
            </w:r>
            <w:r w:rsidR="00DD5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12E15" w:rsidRPr="00826754" w:rsidTr="00DA3CB7">
        <w:tc>
          <w:tcPr>
            <w:tcW w:w="15773" w:type="dxa"/>
            <w:gridSpan w:val="26"/>
          </w:tcPr>
          <w:p w:rsidR="00312E15" w:rsidRPr="00826754" w:rsidRDefault="00312E15" w:rsidP="00B26B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26754">
              <w:rPr>
                <w:b/>
              </w:rPr>
              <w:t xml:space="preserve">. </w:t>
            </w:r>
            <w:r w:rsidRPr="00CA6C4D">
              <w:rPr>
                <w:b/>
              </w:rPr>
              <w:t>Рынок медицинских услуг</w:t>
            </w:r>
          </w:p>
        </w:tc>
      </w:tr>
      <w:tr w:rsidR="00312E15" w:rsidRPr="00B45FD0" w:rsidTr="00DA3CB7">
        <w:tc>
          <w:tcPr>
            <w:tcW w:w="15773" w:type="dxa"/>
            <w:gridSpan w:val="26"/>
          </w:tcPr>
          <w:p w:rsidR="00312E15" w:rsidRDefault="00312E15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501C6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5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5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01C6">
              <w:rPr>
                <w:rFonts w:ascii="Times New Roman" w:hAnsi="Times New Roman" w:cs="Times New Roman"/>
                <w:sz w:val="24"/>
                <w:szCs w:val="24"/>
              </w:rPr>
              <w:t xml:space="preserve"> года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единому </w:t>
            </w:r>
            <w:r w:rsidRPr="00F501C6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01C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предпринимательства, на территории городского округа Спасск-Дальний </w:t>
            </w: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состоят на учёте по виду деятельности «Медицинские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- 11 юридических лиц, а также 6 индивидуальных предпринимателей.</w:t>
            </w:r>
            <w:r w:rsidRPr="00B45FD0">
              <w:rPr>
                <w:rFonts w:eastAsia="Calibri"/>
                <w:lang w:eastAsia="en-US"/>
              </w:rPr>
              <w:t xml:space="preserve"> </w:t>
            </w:r>
            <w:r w:rsidRPr="00B26B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Предприятиями оказывается широкий спектр услуг, который зависит от выбора и уровня обеспеченности клиента.</w:t>
            </w:r>
            <w:r w:rsidRPr="00B26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Доля частных хозяйствующих субъектов,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участвующих в программе обязательного медицинского страхования,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осуществляющих свою деятельность на рынке услуг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услуг,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312E15" w:rsidRDefault="00312E15" w:rsidP="00B2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Основными проблемами рынка медицинских услуг на территории городского округа Спасск-Дальний являются:</w:t>
            </w:r>
          </w:p>
          <w:p w:rsidR="00312E15" w:rsidRDefault="00312E15" w:rsidP="00B2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низкая информированность медицинских организаций негосударственной формы собственности об условиях участия в программе обязательного медицинского страхования;</w:t>
            </w:r>
          </w:p>
          <w:p w:rsidR="00312E15" w:rsidRDefault="00312E15" w:rsidP="00B2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низкая заинтересованность медицинских организаций негосударственной формы собственности в участии в программе обязательного медицинского страхования, обусловленная нерентабельностью оказываемых в рамках программы медицинских услуг;</w:t>
            </w:r>
          </w:p>
          <w:p w:rsidR="00312E15" w:rsidRPr="007E4876" w:rsidRDefault="00312E15" w:rsidP="00B2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отсутствие актуальной информации о состоянии конкурентной среды на рынке медицинских услуг;</w:t>
            </w:r>
          </w:p>
          <w:p w:rsidR="00312E15" w:rsidRDefault="00312E15" w:rsidP="00B26B6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этих условиях основной задачей является содействие развитию медицинских услуг негосударственных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предпринимательства, в том числе индивидуальным предпринимателям.</w:t>
            </w:r>
          </w:p>
          <w:p w:rsidR="00312E15" w:rsidRDefault="00312E15" w:rsidP="00B26B6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12E15" w:rsidRPr="00B45FD0" w:rsidTr="00DD556F">
        <w:tc>
          <w:tcPr>
            <w:tcW w:w="623" w:type="dxa"/>
            <w:tcBorders>
              <w:bottom w:val="single" w:sz="4" w:space="0" w:color="auto"/>
            </w:tcBorders>
          </w:tcPr>
          <w:p w:rsidR="00312E15" w:rsidRDefault="00312E15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2E15" w:rsidRPr="00BA0E0F" w:rsidRDefault="00312E15" w:rsidP="00B26B6A">
            <w:pPr>
              <w:pStyle w:val="ConsPlusNormal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размещение в СМИ информации об условиях участия медицинских организаций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 страхования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12E15" w:rsidRPr="00B45FD0" w:rsidRDefault="00312E15" w:rsidP="00B26B6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2020 год</w:t>
            </w:r>
          </w:p>
        </w:tc>
        <w:tc>
          <w:tcPr>
            <w:tcW w:w="1417" w:type="dxa"/>
            <w:vMerge w:val="restart"/>
          </w:tcPr>
          <w:p w:rsidR="00312E15" w:rsidRPr="00BA0E0F" w:rsidRDefault="00312E15" w:rsidP="00B26B6A">
            <w:r w:rsidRPr="00AB54D7">
              <w:t xml:space="preserve">доля медицинских организаций частной системы </w:t>
            </w:r>
            <w:r w:rsidRPr="00AB54D7">
              <w:lastRenderedPageBreak/>
              <w:t>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312E15" w:rsidRPr="00BA0E0F" w:rsidRDefault="00312E15" w:rsidP="00B26B6A">
            <w:pPr>
              <w:jc w:val="center"/>
            </w:pPr>
            <w:r w:rsidRPr="00AB54D7">
              <w:lastRenderedPageBreak/>
              <w:t>проценты</w:t>
            </w:r>
          </w:p>
          <w:p w:rsidR="00312E15" w:rsidRPr="00BA0E0F" w:rsidRDefault="00312E15" w:rsidP="00B26B6A">
            <w:pPr>
              <w:jc w:val="center"/>
            </w:pPr>
          </w:p>
        </w:tc>
        <w:tc>
          <w:tcPr>
            <w:tcW w:w="808" w:type="dxa"/>
            <w:gridSpan w:val="3"/>
            <w:vMerge w:val="restart"/>
          </w:tcPr>
          <w:p w:rsidR="00312E15" w:rsidRDefault="00312E15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</w:t>
            </w:r>
          </w:p>
          <w:p w:rsidR="00312E15" w:rsidRPr="00B45FD0" w:rsidRDefault="00312E15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2E15" w:rsidRPr="00B45FD0" w:rsidRDefault="00312E15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2" w:type="dxa"/>
            <w:gridSpan w:val="3"/>
            <w:vMerge w:val="restart"/>
          </w:tcPr>
          <w:p w:rsidR="00312E15" w:rsidRDefault="00312E15" w:rsidP="00E76E3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2E15" w:rsidRPr="00B45FD0" w:rsidRDefault="00312E15" w:rsidP="00E76E3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312E15" w:rsidRPr="00B45FD0" w:rsidRDefault="00312E15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6" w:type="dxa"/>
            <w:gridSpan w:val="6"/>
            <w:vMerge w:val="restart"/>
          </w:tcPr>
          <w:p w:rsidR="00312E15" w:rsidRDefault="00312E15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2E15" w:rsidRPr="00B45FD0" w:rsidRDefault="00312E15" w:rsidP="00DA3CB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3560" w:type="dxa"/>
            <w:gridSpan w:val="4"/>
          </w:tcPr>
          <w:p w:rsidR="00312E15" w:rsidRPr="00EA5007" w:rsidRDefault="00312E15" w:rsidP="00B2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период 2020 года в печатных СМИ города и было размещено 2 информационных материала </w:t>
            </w:r>
            <w:r w:rsidRPr="004030B0">
              <w:rPr>
                <w:rFonts w:ascii="Times New Roman" w:hAnsi="Times New Roman"/>
                <w:sz w:val="24"/>
                <w:szCs w:val="24"/>
              </w:rPr>
              <w:t xml:space="preserve">об условиях участия медицинских организаций в программе </w:t>
            </w:r>
            <w:r w:rsidRPr="004030B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обязательного </w:t>
            </w:r>
            <w:r w:rsidRPr="0040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страхования</w:t>
            </w:r>
            <w:r w:rsidR="00E12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</w:tcPr>
          <w:p w:rsidR="00312E15" w:rsidRPr="00AB54D7" w:rsidRDefault="00312E15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доли медицинских организаций негосударственной формы собственности и индивидуальных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предпринимателей в оказании медицинской помощи в рамках </w:t>
            </w:r>
            <w:r w:rsidRPr="00AB54D7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B54D7">
              <w:rPr>
                <w:rFonts w:ascii="Times New Roman" w:hAnsi="Times New Roman"/>
                <w:sz w:val="24"/>
                <w:szCs w:val="24"/>
              </w:rPr>
              <w:t xml:space="preserve"> обязательного медицинского страхования</w:t>
            </w:r>
            <w:r w:rsidR="00DD5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2E15" w:rsidRPr="00B45FD0" w:rsidTr="00DD55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A0E0F" w:rsidRDefault="00312E15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Default="00312E15" w:rsidP="00B26B6A">
            <w:pPr>
              <w:jc w:val="both"/>
            </w:pPr>
            <w:r>
              <w:t>Проведение информационных мероприятий, направленных на стимулирование привлечения медицинских организаций негосударственной формы собственности к участию в реализации программы обязательного медицинского страхования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15" w:rsidRPr="00B45FD0" w:rsidRDefault="00312E15" w:rsidP="00B26B6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vMerge/>
          </w:tcPr>
          <w:p w:rsidR="00312E15" w:rsidRPr="00AB6F46" w:rsidRDefault="00312E15" w:rsidP="00B26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2E15" w:rsidRPr="00AB6F46" w:rsidRDefault="00312E15" w:rsidP="00B26B6A">
            <w:pPr>
              <w:jc w:val="center"/>
            </w:pPr>
          </w:p>
        </w:tc>
        <w:tc>
          <w:tcPr>
            <w:tcW w:w="808" w:type="dxa"/>
            <w:gridSpan w:val="3"/>
            <w:vMerge/>
            <w:tcBorders>
              <w:bottom w:val="single" w:sz="4" w:space="0" w:color="auto"/>
            </w:tcBorders>
          </w:tcPr>
          <w:p w:rsidR="00312E15" w:rsidRPr="00AB6F46" w:rsidRDefault="00312E15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</w:tcPr>
          <w:p w:rsidR="00312E15" w:rsidRPr="00AB6F46" w:rsidRDefault="00312E15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6"/>
            <w:vMerge/>
            <w:tcBorders>
              <w:bottom w:val="single" w:sz="4" w:space="0" w:color="auto"/>
            </w:tcBorders>
          </w:tcPr>
          <w:p w:rsidR="00312E15" w:rsidRPr="00AB6F46" w:rsidRDefault="00312E15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4"/>
          </w:tcPr>
          <w:p w:rsidR="00312E15" w:rsidRPr="00EA5007" w:rsidRDefault="00312E15" w:rsidP="00160A00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30B0">
              <w:rPr>
                <w:rFonts w:ascii="Times New Roman" w:hAnsi="Times New Roman" w:cs="Times New Roman"/>
                <w:sz w:val="24"/>
                <w:szCs w:val="24"/>
              </w:rPr>
              <w:t>азработана</w:t>
            </w:r>
            <w:proofErr w:type="gramEnd"/>
            <w:r w:rsidRPr="0040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0B0">
              <w:rPr>
                <w:rFonts w:ascii="Times New Roman" w:hAnsi="Times New Roman" w:cs="Times New Roman"/>
                <w:sz w:val="24"/>
                <w:szCs w:val="24"/>
              </w:rPr>
              <w:t>анкета-опросник</w:t>
            </w:r>
            <w:proofErr w:type="spellEnd"/>
            <w:r w:rsidRPr="004030B0">
              <w:rPr>
                <w:rFonts w:ascii="Times New Roman" w:hAnsi="Times New Roman" w:cs="Times New Roman"/>
                <w:sz w:val="24"/>
                <w:szCs w:val="24"/>
              </w:rPr>
              <w:t>, по выявлению причин нежелания участия негосударственных медицинских организаций малого и среднего предпринимательства, в том числе индивидуальных предпринимателей, в программе обязательного медицинского страхования медицинских услуг</w:t>
            </w:r>
            <w:r w:rsidRPr="004030B0">
              <w:rPr>
                <w:sz w:val="24"/>
                <w:szCs w:val="24"/>
              </w:rPr>
              <w:t>.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3A5C43" w:rsidRDefault="00312E15" w:rsidP="00B26B6A">
            <w:pPr>
              <w:jc w:val="both"/>
            </w:pPr>
            <w:r>
              <w:t xml:space="preserve">Увеличение доли медицинских организаций негосударственной формы собственности и индивидуальных предпринимателей в оказании медицинской помощи в рамках </w:t>
            </w:r>
            <w:r w:rsidRPr="00AB54D7">
              <w:t>программ</w:t>
            </w:r>
            <w:r>
              <w:t>ы</w:t>
            </w:r>
            <w:r w:rsidRPr="00AB54D7">
              <w:t xml:space="preserve"> обязательного медицинского страхования</w:t>
            </w:r>
            <w:r w:rsidR="00DD556F">
              <w:t>.</w:t>
            </w:r>
          </w:p>
        </w:tc>
      </w:tr>
      <w:tr w:rsidR="00312E15" w:rsidRPr="00371D71" w:rsidTr="00DA3CB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Default="00312E15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3A5C43" w:rsidRDefault="00312E15" w:rsidP="009762B4">
            <w:pPr>
              <w:jc w:val="both"/>
            </w:pPr>
            <w:r>
              <w:t>Организация проведения семинаров и консультаций по вопросам лицензирования медицинской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B45FD0" w:rsidRDefault="00312E15" w:rsidP="00B26B6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</w:tcPr>
          <w:p w:rsidR="00312E15" w:rsidRPr="00BA0E0F" w:rsidRDefault="00312E15" w:rsidP="00B26B6A">
            <w:pPr>
              <w:jc w:val="center"/>
            </w:pPr>
          </w:p>
        </w:tc>
        <w:tc>
          <w:tcPr>
            <w:tcW w:w="1276" w:type="dxa"/>
          </w:tcPr>
          <w:p w:rsidR="00312E15" w:rsidRPr="00BA0E0F" w:rsidRDefault="00312E15" w:rsidP="00B26B6A">
            <w:pPr>
              <w:jc w:val="center"/>
            </w:pPr>
          </w:p>
        </w:tc>
        <w:tc>
          <w:tcPr>
            <w:tcW w:w="808" w:type="dxa"/>
            <w:gridSpan w:val="3"/>
            <w:tcBorders>
              <w:bottom w:val="single" w:sz="4" w:space="0" w:color="auto"/>
            </w:tcBorders>
          </w:tcPr>
          <w:p w:rsidR="00312E15" w:rsidRPr="00BA0E0F" w:rsidRDefault="00312E15" w:rsidP="00B26B6A"/>
        </w:tc>
        <w:tc>
          <w:tcPr>
            <w:tcW w:w="852" w:type="dxa"/>
            <w:gridSpan w:val="3"/>
            <w:tcBorders>
              <w:bottom w:val="single" w:sz="4" w:space="0" w:color="auto"/>
            </w:tcBorders>
          </w:tcPr>
          <w:p w:rsidR="00312E15" w:rsidRPr="00BA0E0F" w:rsidRDefault="00312E15" w:rsidP="00B26B6A"/>
        </w:tc>
        <w:tc>
          <w:tcPr>
            <w:tcW w:w="1296" w:type="dxa"/>
            <w:gridSpan w:val="6"/>
            <w:tcBorders>
              <w:bottom w:val="single" w:sz="4" w:space="0" w:color="auto"/>
            </w:tcBorders>
          </w:tcPr>
          <w:p w:rsidR="00312E15" w:rsidRPr="00BA0E0F" w:rsidRDefault="00312E15" w:rsidP="00B26B6A"/>
        </w:tc>
        <w:tc>
          <w:tcPr>
            <w:tcW w:w="3560" w:type="dxa"/>
            <w:gridSpan w:val="4"/>
            <w:tcBorders>
              <w:bottom w:val="single" w:sz="4" w:space="0" w:color="auto"/>
            </w:tcBorders>
          </w:tcPr>
          <w:p w:rsidR="00312E15" w:rsidRPr="00B26B6A" w:rsidRDefault="00312E15" w:rsidP="005A260D">
            <w:pPr>
              <w:ind w:firstLine="709"/>
              <w:jc w:val="both"/>
            </w:pPr>
            <w:r>
              <w:rPr>
                <w:color w:val="000000"/>
              </w:rPr>
              <w:t>П</w:t>
            </w:r>
            <w:r w:rsidRPr="004030B0">
              <w:rPr>
                <w:color w:val="000000"/>
              </w:rPr>
              <w:t xml:space="preserve">о причине введения ограничительных мер на поведение мероприятий в Приморском крае, связанных с угрозой распространения COVID-19, мероприятия </w:t>
            </w:r>
            <w:r>
              <w:rPr>
                <w:color w:val="000000"/>
              </w:rPr>
              <w:t xml:space="preserve">(консультации) </w:t>
            </w:r>
            <w:r w:rsidRPr="004030B0">
              <w:rPr>
                <w:color w:val="000000"/>
              </w:rPr>
              <w:t xml:space="preserve">по информированию </w:t>
            </w:r>
            <w:r w:rsidRPr="004030B0">
              <w:t xml:space="preserve">медицинских организаций негосударственной формы собственности к участию в реализации программы обязательного медицинского </w:t>
            </w:r>
            <w:r w:rsidRPr="004030B0">
              <w:lastRenderedPageBreak/>
              <w:t>страхования</w:t>
            </w:r>
            <w:r w:rsidRPr="004030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2020 году </w:t>
            </w:r>
            <w:r w:rsidRPr="004030B0">
              <w:rPr>
                <w:color w:val="000000"/>
              </w:rPr>
              <w:t>проводи</w:t>
            </w:r>
            <w:r>
              <w:rPr>
                <w:color w:val="000000"/>
              </w:rPr>
              <w:t xml:space="preserve">лись </w:t>
            </w:r>
            <w:r w:rsidRPr="004030B0">
              <w:rPr>
                <w:color w:val="000000"/>
              </w:rPr>
              <w:t>дистанционным способом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5" w:rsidRPr="003A5C43" w:rsidRDefault="00312E15" w:rsidP="00B26B6A">
            <w:pPr>
              <w:jc w:val="both"/>
            </w:pPr>
            <w:r>
              <w:lastRenderedPageBreak/>
              <w:t xml:space="preserve">Увеличение доли медицинских организаций негосударственной формы собственности и индивидуальных предпринимателей в оказании медицинской помощи в рамках </w:t>
            </w:r>
            <w:r w:rsidRPr="00AB54D7">
              <w:t>программ</w:t>
            </w:r>
            <w:r>
              <w:t>ы</w:t>
            </w:r>
            <w:r w:rsidRPr="00AB54D7">
              <w:t xml:space="preserve"> обязательного медицинского </w:t>
            </w:r>
            <w:r w:rsidRPr="00AB54D7">
              <w:lastRenderedPageBreak/>
              <w:t>страхования</w:t>
            </w:r>
            <w:r w:rsidR="00DD556F">
              <w:t>.</w:t>
            </w:r>
          </w:p>
        </w:tc>
      </w:tr>
    </w:tbl>
    <w:p w:rsidR="0040531F" w:rsidRDefault="0040531F" w:rsidP="00771487">
      <w:pPr>
        <w:ind w:left="134"/>
        <w:rPr>
          <w:sz w:val="26"/>
          <w:szCs w:val="26"/>
        </w:rPr>
      </w:pPr>
    </w:p>
    <w:p w:rsidR="00BF646B" w:rsidRPr="00B26B6A" w:rsidRDefault="00BF646B" w:rsidP="00B26B6A">
      <w:pPr>
        <w:ind w:left="360"/>
        <w:jc w:val="center"/>
        <w:rPr>
          <w:spacing w:val="2"/>
          <w:sz w:val="26"/>
          <w:szCs w:val="26"/>
        </w:rPr>
      </w:pPr>
    </w:p>
    <w:p w:rsidR="00415E45" w:rsidRPr="007F2508" w:rsidRDefault="00415E45" w:rsidP="007F2508">
      <w:pPr>
        <w:pStyle w:val="aa"/>
        <w:numPr>
          <w:ilvl w:val="0"/>
          <w:numId w:val="11"/>
        </w:numPr>
        <w:jc w:val="center"/>
        <w:rPr>
          <w:spacing w:val="2"/>
          <w:sz w:val="26"/>
          <w:szCs w:val="26"/>
        </w:rPr>
      </w:pPr>
      <w:r w:rsidRPr="007F2508">
        <w:rPr>
          <w:spacing w:val="2"/>
          <w:sz w:val="26"/>
          <w:szCs w:val="26"/>
        </w:rPr>
        <w:t>Системные мероприятия по содействию развитию конкуренции</w:t>
      </w:r>
    </w:p>
    <w:p w:rsidR="003D2721" w:rsidRPr="003D2721" w:rsidRDefault="003D2721" w:rsidP="003D2721">
      <w:pPr>
        <w:pStyle w:val="aa"/>
        <w:ind w:left="1080"/>
        <w:rPr>
          <w:spacing w:val="2"/>
          <w:sz w:val="26"/>
          <w:szCs w:val="26"/>
        </w:rPr>
      </w:pPr>
    </w:p>
    <w:tbl>
      <w:tblPr>
        <w:tblW w:w="15594" w:type="dxa"/>
        <w:tblInd w:w="-2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7"/>
        <w:gridCol w:w="35"/>
        <w:gridCol w:w="4878"/>
        <w:gridCol w:w="3435"/>
        <w:gridCol w:w="6"/>
        <w:gridCol w:w="1417"/>
        <w:gridCol w:w="4956"/>
      </w:tblGrid>
      <w:tr w:rsidR="00415E45" w:rsidRPr="00FA5CF6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N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Наименование мероприятия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Результат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Сроки выполнения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Исполнители</w:t>
            </w:r>
          </w:p>
        </w:tc>
      </w:tr>
      <w:tr w:rsidR="00415E45" w:rsidRPr="008F682C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2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3D2721" w:rsidRDefault="003D2721" w:rsidP="00371D71">
            <w:pPr>
              <w:spacing w:line="315" w:lineRule="atLeast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3D2721" w:rsidRDefault="003D2721" w:rsidP="00371D71">
            <w:pPr>
              <w:spacing w:line="315" w:lineRule="atLeast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15E45" w:rsidRPr="00FA5CF6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1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FA5CF6" w:rsidRDefault="00415E45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  <w:tc>
          <w:tcPr>
            <w:tcW w:w="146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  <w:p w:rsidR="0058217A" w:rsidRPr="00FA5CF6" w:rsidRDefault="0058217A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EB536D" w:rsidRPr="008F682C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36D" w:rsidRPr="008F682C" w:rsidRDefault="00EB536D" w:rsidP="00371D71">
            <w:pPr>
              <w:spacing w:line="315" w:lineRule="atLeast"/>
              <w:jc w:val="center"/>
              <w:textAlignment w:val="baseline"/>
            </w:pPr>
            <w:r w:rsidRPr="008F682C">
              <w:t>1.1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36D" w:rsidRDefault="00EB536D" w:rsidP="00371D71">
            <w:pPr>
              <w:spacing w:line="315" w:lineRule="atLeast"/>
              <w:textAlignment w:val="baseline"/>
            </w:pPr>
            <w:r>
              <w:t xml:space="preserve">Реализация муниципальной </w:t>
            </w:r>
            <w:r w:rsidRPr="00BE44DA">
              <w:t>программы,</w:t>
            </w:r>
            <w:r>
              <w:t xml:space="preserve"> направленной на содействие развитию малого и среднего предпринимательства на территории городского округа Спасск-Дальний</w:t>
            </w:r>
          </w:p>
          <w:p w:rsidR="00EB536D" w:rsidRPr="008F682C" w:rsidRDefault="00EB536D" w:rsidP="00371D71">
            <w:pPr>
              <w:spacing w:line="315" w:lineRule="atLeast"/>
              <w:textAlignment w:val="baseline"/>
            </w:pP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36D" w:rsidRPr="008F682C" w:rsidRDefault="00EB536D" w:rsidP="00415E45">
            <w:pPr>
              <w:spacing w:line="315" w:lineRule="atLeast"/>
              <w:textAlignment w:val="baseline"/>
            </w:pPr>
            <w:r>
              <w:t>Создание благоприятных условий для развития бизнеса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36D" w:rsidRPr="008F682C" w:rsidRDefault="00EB536D" w:rsidP="00A05B25">
            <w:pPr>
              <w:spacing w:line="315" w:lineRule="atLeast"/>
              <w:textAlignment w:val="baseline"/>
            </w:pPr>
            <w:r>
              <w:t xml:space="preserve">2020 год 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36D" w:rsidRPr="00EB536D" w:rsidRDefault="00EB536D" w:rsidP="00E03B5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056">
              <w:rPr>
                <w:rFonts w:ascii="Times New Roman" w:hAnsi="Times New Roman"/>
                <w:sz w:val="24"/>
                <w:szCs w:val="24"/>
              </w:rPr>
              <w:t>2020 году</w:t>
            </w:r>
            <w:r w:rsidRPr="00EB536D">
              <w:rPr>
                <w:rFonts w:ascii="Times New Roman" w:hAnsi="Times New Roman"/>
                <w:sz w:val="24"/>
                <w:szCs w:val="24"/>
              </w:rPr>
              <w:t xml:space="preserve"> на территории городского округа реализовывалась муниципальная программа «Р</w:t>
            </w:r>
            <w:r>
              <w:rPr>
                <w:rFonts w:ascii="Times New Roman" w:hAnsi="Times New Roman"/>
                <w:sz w:val="24"/>
                <w:szCs w:val="24"/>
              </w:rPr>
              <w:t>азвитие</w:t>
            </w:r>
            <w:r w:rsidRPr="00EB536D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на территории городского округа Спасск-Дальний на 2020-2022 годы». Пандемия COVID-19 внесла корректировку в исполнение муниципальной программы. Постановлением Администрации городского округа Спасск-Дальний от 29 июня 2020 № 290-па внесены изменения в постановление от 28 ноября 2019 года № 500-па «Об утверждении муниципальной программы «Развитие малого и среднего предпринимательства на территории городского округа Спасск-Дальний на 2020-2022 годы». Изменилось наименование мероприятия программы: финансовая поддержка предусмотрена в виде субсидий на возмещение части  затрат субъектам малого и среднего предпринимательства, ведущим деятельность в отраслях </w:t>
            </w:r>
            <w:r w:rsidRPr="00EB53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экономике,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EB536D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EB536D">
              <w:rPr>
                <w:rFonts w:ascii="Times New Roman" w:hAnsi="Times New Roman"/>
                <w:sz w:val="24"/>
                <w:szCs w:val="24"/>
              </w:rPr>
              <w:t xml:space="preserve"> инфекции.  Ресурсное обеспечение мероприятий установлено в размере 500 тыс. рублей, источник финансирования: бюджет городского округа Спасск-Дальний. Оказана поддержка четырем субъектам малого предпринимательства из числа пострадавших отраслей экономики на сумму пятьсот тысяч рублей. </w:t>
            </w:r>
          </w:p>
        </w:tc>
      </w:tr>
      <w:tr w:rsidR="00696914" w:rsidRPr="008F682C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914" w:rsidRPr="008F682C" w:rsidRDefault="00696914" w:rsidP="00371D71">
            <w:pPr>
              <w:spacing w:line="315" w:lineRule="atLeast"/>
              <w:jc w:val="center"/>
              <w:textAlignment w:val="baseline"/>
            </w:pPr>
            <w:r w:rsidRPr="008F682C">
              <w:lastRenderedPageBreak/>
              <w:t>1.2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914" w:rsidRPr="008F682C" w:rsidRDefault="00696914" w:rsidP="00371D71">
            <w:pPr>
              <w:spacing w:line="315" w:lineRule="atLeast"/>
              <w:textAlignment w:val="baseline"/>
            </w:pPr>
            <w:r>
              <w:t>Организация и проведение мониторинга удовлетворенности качеством товаров и услуг на товарных рынках городского округа Спасск-Дальний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914" w:rsidRPr="005A7F76" w:rsidRDefault="00696914" w:rsidP="00415E45">
            <w:pPr>
              <w:spacing w:line="315" w:lineRule="atLeast"/>
              <w:textAlignment w:val="baseline"/>
            </w:pPr>
            <w:r>
              <w:t>П</w:t>
            </w:r>
            <w:r w:rsidRPr="005A7F76">
              <w:t>овышение удовлетворе</w:t>
            </w:r>
            <w:r w:rsidR="00DE1307">
              <w:t>нности качеством товаров и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914" w:rsidRPr="008F682C" w:rsidRDefault="00696914" w:rsidP="00F11380">
            <w:pPr>
              <w:spacing w:line="315" w:lineRule="atLeast"/>
              <w:textAlignment w:val="baseline"/>
            </w:pPr>
            <w:r>
              <w:t xml:space="preserve">   20</w:t>
            </w:r>
            <w:r w:rsidR="00F11380">
              <w:t>20</w:t>
            </w:r>
            <w:r>
              <w:t xml:space="preserve"> год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914" w:rsidRPr="008F682C" w:rsidRDefault="00537056" w:rsidP="00B22502">
            <w:pPr>
              <w:pStyle w:val="ConsPlusNormal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="00040691">
              <w:rPr>
                <w:rFonts w:ascii="Times New Roman" w:hAnsi="Times New Roman"/>
                <w:sz w:val="24"/>
                <w:szCs w:val="24"/>
              </w:rPr>
              <w:t>проведенного мониторинга будут предоставлены в годовом докладе.</w:t>
            </w:r>
          </w:p>
          <w:p w:rsidR="00696914" w:rsidRPr="008F682C" w:rsidRDefault="00696914" w:rsidP="00B22502">
            <w:pPr>
              <w:spacing w:line="315" w:lineRule="atLeast"/>
              <w:jc w:val="both"/>
              <w:textAlignment w:val="baseline"/>
            </w:pPr>
          </w:p>
        </w:tc>
      </w:tr>
      <w:tr w:rsidR="00696914" w:rsidRPr="008F682C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914" w:rsidRPr="008F682C" w:rsidRDefault="00696914" w:rsidP="00371D71">
            <w:pPr>
              <w:spacing w:line="315" w:lineRule="atLeast"/>
              <w:jc w:val="center"/>
              <w:textAlignment w:val="baseline"/>
            </w:pPr>
            <w:r>
              <w:t>1.3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914" w:rsidRPr="008F682C" w:rsidRDefault="00696914" w:rsidP="00DE1307">
            <w:pPr>
              <w:autoSpaceDE w:val="0"/>
              <w:autoSpaceDN w:val="0"/>
              <w:adjustRightInd w:val="0"/>
            </w:pPr>
            <w:r w:rsidRPr="007C3AD9">
              <w:t>Организация и проведение мониторингов удовлетворенности субъектов предпринимательской деятельности состоянием конкурентной</w:t>
            </w:r>
            <w:r>
              <w:t xml:space="preserve"> </w:t>
            </w:r>
            <w:r w:rsidRPr="007C3AD9">
              <w:t>среды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914" w:rsidRPr="008F682C" w:rsidRDefault="00696914" w:rsidP="00E76E30">
            <w:pPr>
              <w:spacing w:line="315" w:lineRule="atLeast"/>
              <w:jc w:val="both"/>
              <w:textAlignment w:val="baseline"/>
            </w:pPr>
            <w:r>
              <w:t>Повышение оценки состояния конкурентной среды у субъектов предпринимательской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914" w:rsidRPr="008F682C" w:rsidRDefault="00F11380" w:rsidP="00371D71">
            <w:pPr>
              <w:spacing w:line="315" w:lineRule="atLeast"/>
              <w:jc w:val="center"/>
              <w:textAlignment w:val="baseline"/>
            </w:pPr>
            <w:r>
              <w:t>2020</w:t>
            </w:r>
            <w:r w:rsidR="00696914">
              <w:t xml:space="preserve"> год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0691" w:rsidRPr="008F682C" w:rsidRDefault="009444D8" w:rsidP="00040691">
            <w:pPr>
              <w:pStyle w:val="ConsPlusNormal"/>
              <w:ind w:firstLine="2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</w:t>
            </w:r>
            <w:r w:rsidR="00040691">
              <w:rPr>
                <w:rFonts w:ascii="Times New Roman" w:hAnsi="Times New Roman"/>
                <w:sz w:val="24"/>
                <w:szCs w:val="24"/>
              </w:rPr>
              <w:t>Результаты проведенного мониторинга будут предоставлены в годовом докладе.</w:t>
            </w:r>
          </w:p>
          <w:p w:rsidR="00696914" w:rsidRDefault="00696914" w:rsidP="00B22502">
            <w:pPr>
              <w:ind w:left="-148"/>
              <w:jc w:val="both"/>
              <w:rPr>
                <w:sz w:val="26"/>
                <w:szCs w:val="26"/>
              </w:rPr>
            </w:pPr>
          </w:p>
          <w:p w:rsidR="00696914" w:rsidRPr="008F682C" w:rsidRDefault="00696914" w:rsidP="00696914">
            <w:pPr>
              <w:spacing w:line="315" w:lineRule="atLeast"/>
              <w:textAlignment w:val="baseline"/>
            </w:pPr>
          </w:p>
        </w:tc>
      </w:tr>
      <w:tr w:rsidR="00415E45" w:rsidRPr="00FA5CF6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2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FA5CF6" w:rsidRDefault="00415E45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  <w:tc>
          <w:tcPr>
            <w:tcW w:w="146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FA5CF6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F37B77" w:rsidRPr="008F682C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B77" w:rsidRPr="008F682C" w:rsidRDefault="00F37B77" w:rsidP="00371D71">
            <w:pPr>
              <w:spacing w:line="315" w:lineRule="atLeast"/>
              <w:jc w:val="center"/>
              <w:textAlignment w:val="baseline"/>
            </w:pPr>
            <w:r w:rsidRPr="008F682C">
              <w:t>2.1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B77" w:rsidRPr="008F682C" w:rsidRDefault="00F37B77" w:rsidP="00DE1307">
            <w:pPr>
              <w:spacing w:line="315" w:lineRule="atLeast"/>
              <w:textAlignment w:val="baseline"/>
            </w:pPr>
            <w:r>
              <w:t>Осуществление закупок товаров, работ услуг у субъектов малого и среднего  предпринимательства, социально ориентированных некоммерческих организаций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B77" w:rsidRPr="008F682C" w:rsidRDefault="00F37B77" w:rsidP="00371D71">
            <w:pPr>
              <w:spacing w:line="315" w:lineRule="atLeast"/>
              <w:textAlignment w:val="baseline"/>
            </w:pPr>
            <w:proofErr w:type="gramStart"/>
            <w:r>
              <w:t>Доля стоимости проведенных закупок у субъектов малого предпринимательства (с учетом привлечения  субподрядчиков (соискателей)  из числа субъектов малого предпринимательства не менее 15% совокупного годового объема закупок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B77" w:rsidRPr="008F682C" w:rsidRDefault="00F37B77" w:rsidP="00371D71">
            <w:pPr>
              <w:spacing w:line="315" w:lineRule="atLeast"/>
              <w:textAlignment w:val="baseline"/>
            </w:pPr>
            <w:r>
              <w:t>2020 год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B77" w:rsidRPr="001F25C0" w:rsidRDefault="001F25C0" w:rsidP="00EB536D">
            <w:pPr>
              <w:spacing w:line="315" w:lineRule="atLeast"/>
              <w:jc w:val="both"/>
              <w:textAlignment w:val="baseline"/>
            </w:pPr>
            <w:r w:rsidRPr="001F25C0">
              <w:t xml:space="preserve">В соответствии с требованиями федерального законодательства </w:t>
            </w:r>
            <w:proofErr w:type="gramStart"/>
            <w:r w:rsidRPr="001F25C0">
              <w:t>ч</w:t>
            </w:r>
            <w:proofErr w:type="gramEnd"/>
            <w:r w:rsidRPr="001F25C0">
              <w:t xml:space="preserve">.1 ст.30 ФЗ-№44 заказчики обязаны осуществлять закупки у субъектов малого и среднего предпринимательства путем проведения электронных аукционов, конкурсов, запросов предложений, котировок цен. Доля закупок, которые заказчик осуществил у субъектов малого и среднего предпринимательства, в совокупном годовом объеме закупок, рассчитанном за </w:t>
            </w:r>
            <w:r w:rsidRPr="001F25C0">
              <w:lastRenderedPageBreak/>
              <w:t xml:space="preserve">вычетом </w:t>
            </w:r>
            <w:proofErr w:type="gramStart"/>
            <w:r w:rsidRPr="001F25C0">
              <w:t>закупок, предусмотренных частью 1.1 статьи 30 Федерального закона 44-ФЗ в 2019 году составила</w:t>
            </w:r>
            <w:proofErr w:type="gramEnd"/>
            <w:r w:rsidRPr="001F25C0">
              <w:t xml:space="preserve"> 65,17420% за 2019 год. Отчет о доли малого предпринимательства </w:t>
            </w:r>
            <w:proofErr w:type="gramStart"/>
            <w:r w:rsidRPr="001F25C0">
              <w:t>согласно постановления</w:t>
            </w:r>
            <w:proofErr w:type="gramEnd"/>
            <w:r w:rsidRPr="001F25C0">
              <w:t xml:space="preserve"> правительства РФ за 2020 год должен быть размещен в ЕИС до 01 апреля 2021 года (ч.4 ст.30 ФЗ№44). </w:t>
            </w:r>
            <w:r>
              <w:t>По предварительной оценке</w:t>
            </w:r>
            <w:r w:rsidRPr="001F25C0">
              <w:t>, показатель в объеме не менее 15% СГОЗ за 2020 год будет выполнен</w:t>
            </w:r>
            <w:r>
              <w:t>. В течение</w:t>
            </w:r>
            <w:r w:rsidRPr="001F25C0">
              <w:t xml:space="preserve"> 2020 года на постоянной основе объявлялись электронные аукционы, в которых могли принять участие  только субъекты малого предпринимательства. Это все электронные аукционы  на приобретение жилых помещений  для детей сирот и лиц из числа детей-сирот, приобретение жилых помещений для переселения из ветхого и аварийного жилья, поставка товара, работ, услуг при реализации национальных проектов, реализации краевых и муниципальных программ. Это шестнадцать электронных аукционов на асфальтирование придомовых территорий многоквартирных дворов, проектирование и работы по ФОКОТ по ул. Красногвардейской, создание и ремонт спортивных сооружений и объектов на территории городского округа, благоустройство и приобретение МАФ для благоустройства общественных территорий, приобретение транспортных средств. Эти меры позволили поддержать малое и среднее предпринимательство в 2020 году.</w:t>
            </w:r>
          </w:p>
        </w:tc>
      </w:tr>
      <w:tr w:rsidR="00F37B77" w:rsidRPr="008F682C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B77" w:rsidRPr="008F682C" w:rsidRDefault="00F37B77" w:rsidP="00371D71">
            <w:pPr>
              <w:spacing w:line="315" w:lineRule="atLeast"/>
              <w:jc w:val="center"/>
              <w:textAlignment w:val="baseline"/>
            </w:pPr>
            <w:r w:rsidRPr="008F682C">
              <w:lastRenderedPageBreak/>
              <w:t>2.2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B77" w:rsidRPr="00FA5CF6" w:rsidRDefault="00F37B77" w:rsidP="00371D71">
            <w:r>
              <w:t>С</w:t>
            </w:r>
            <w:r w:rsidRPr="00FA5CF6">
              <w:t>нижение ко</w:t>
            </w:r>
            <w:r>
              <w:t>личества</w:t>
            </w:r>
            <w:r w:rsidRPr="00FA5CF6">
              <w:t xml:space="preserve"> осуществления закупки у</w:t>
            </w:r>
            <w:r>
              <w:t xml:space="preserve"> </w:t>
            </w:r>
            <w:r w:rsidRPr="00FA5CF6">
              <w:t>единственного поставщика путем</w:t>
            </w:r>
            <w:r>
              <w:t xml:space="preserve"> </w:t>
            </w:r>
            <w:r w:rsidRPr="00FA5CF6">
              <w:t>увеличения количества конкурентных процедур муниципальных закупок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B77" w:rsidRPr="008F682C" w:rsidRDefault="00F37B77" w:rsidP="00902EE5">
            <w:pPr>
              <w:spacing w:line="315" w:lineRule="atLeast"/>
              <w:textAlignment w:val="baseline"/>
            </w:pPr>
            <w:r>
              <w:t>Увеличение количества конкурентных процедур муниципальных закупок, не менее 0,5% ежегодно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B77" w:rsidRPr="008F682C" w:rsidRDefault="00F37B77" w:rsidP="00371D71">
            <w:pPr>
              <w:spacing w:line="315" w:lineRule="atLeast"/>
              <w:textAlignment w:val="baseline"/>
            </w:pPr>
            <w:r>
              <w:t xml:space="preserve">2020 год 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B77" w:rsidRPr="001F25C0" w:rsidRDefault="001F25C0" w:rsidP="001F25C0">
            <w:pPr>
              <w:spacing w:line="315" w:lineRule="atLeast"/>
              <w:jc w:val="both"/>
              <w:textAlignment w:val="baseline"/>
            </w:pPr>
            <w:r w:rsidRPr="001F25C0">
              <w:t xml:space="preserve">В 2020 году основным конкурентным способом проведения закупок оставались аукционы в электронной форме. </w:t>
            </w:r>
            <w:proofErr w:type="gramStart"/>
            <w:r w:rsidRPr="001F25C0">
              <w:t>Так, в 2020 году</w:t>
            </w:r>
            <w:r>
              <w:t xml:space="preserve"> </w:t>
            </w:r>
            <w:r w:rsidRPr="001F25C0">
              <w:t>приобретен</w:t>
            </w:r>
            <w:r>
              <w:t>ы</w:t>
            </w:r>
            <w:r w:rsidRPr="001F25C0">
              <w:t xml:space="preserve"> через электронные аукционы 36 квартир для детей сирот и лиц из числа детей оставшихся без попечения родителей.</w:t>
            </w:r>
            <w:proofErr w:type="gramEnd"/>
            <w:r w:rsidRPr="001F25C0">
              <w:t xml:space="preserve"> В 2020 году приобретено через электронные аукционы 39 благоустроенных жилых помещения на территории городского округа Спасск-Дальний для лиц, проживающих в аварийных домах, еще три муниципальных контракта заключены 11.01.2021 года, электронные аукционы были объявлены в декабре 2020 года. НМЦК по отдельным торгам на приобретение жилых помещений снижалась более чем на двадцать процентов, что говорит о высоком уровне конкуренции при проведении закупочных процедур. Максимальное снижение по электронному аукциону на приобретение жилого помещения по переселению для лиц</w:t>
            </w:r>
            <w:r w:rsidR="005242AE">
              <w:t>,</w:t>
            </w:r>
            <w:r w:rsidRPr="001F25C0">
              <w:t xml:space="preserve"> проживающих в аварийных домах в ходе торгов достигла 32,56%.  В тоже время имелись </w:t>
            </w:r>
            <w:r w:rsidR="00A8295C">
              <w:t xml:space="preserve">единичные </w:t>
            </w:r>
            <w:r w:rsidRPr="001F25C0">
              <w:t xml:space="preserve">факты проведения электронных аукционов по приобретению жилых помещений на </w:t>
            </w:r>
            <w:proofErr w:type="gramStart"/>
            <w:r w:rsidRPr="001F25C0">
              <w:t>участие</w:t>
            </w:r>
            <w:proofErr w:type="gramEnd"/>
            <w:r w:rsidRPr="001F25C0">
              <w:t xml:space="preserve"> в которых не было подано ни одной заявки</w:t>
            </w:r>
          </w:p>
        </w:tc>
      </w:tr>
      <w:tr w:rsidR="00EB536D" w:rsidRPr="008F682C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36D" w:rsidRPr="008F682C" w:rsidRDefault="00EB536D" w:rsidP="00371D71">
            <w:pPr>
              <w:spacing w:line="315" w:lineRule="atLeast"/>
              <w:jc w:val="center"/>
              <w:textAlignment w:val="baseline"/>
            </w:pPr>
            <w:r>
              <w:t>2.3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36D" w:rsidRPr="00553AC8" w:rsidRDefault="00EB536D" w:rsidP="00371D71">
            <w:pPr>
              <w:spacing w:line="315" w:lineRule="atLeast"/>
              <w:textAlignment w:val="baseline"/>
            </w:pPr>
            <w:r w:rsidRPr="00553AC8">
              <w:t>Увеличение числа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36D" w:rsidRPr="008F682C" w:rsidRDefault="00EB536D" w:rsidP="00E76E30">
            <w:pPr>
              <w:spacing w:line="315" w:lineRule="atLeast"/>
              <w:textAlignment w:val="baseline"/>
            </w:pPr>
            <w:r>
              <w:t>Снижение расходов бюджетов всех уровней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36D" w:rsidRPr="008F682C" w:rsidRDefault="00EB536D" w:rsidP="00371D71">
            <w:pPr>
              <w:spacing w:line="315" w:lineRule="atLeast"/>
              <w:jc w:val="center"/>
              <w:textAlignment w:val="baseline"/>
            </w:pPr>
            <w:r>
              <w:t>2020 год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36D" w:rsidRPr="00EB3387" w:rsidRDefault="00EB3387" w:rsidP="00CA06EE">
            <w:pPr>
              <w:spacing w:line="315" w:lineRule="atLeast"/>
              <w:jc w:val="both"/>
              <w:textAlignment w:val="baseline"/>
            </w:pPr>
            <w:r w:rsidRPr="00EB3387">
              <w:t xml:space="preserve">В 2020 году закрепился тренд на увеличение числа участников конкурентных процедур (открытый аукцион в электронной форме), в том числе участников из числа субъектов малого и среднего предпринимательства. В </w:t>
            </w:r>
            <w:r w:rsidRPr="00EB3387">
              <w:lastRenderedPageBreak/>
              <w:t xml:space="preserve">отчетном периоде при проведении торгов на отдельные аукционы в электронной форме поступало по 4,5 заявок. На один из аукционов по приобретению благоустроенного жилого помещения для переселения граждан из ветхого и аварийного жилья было подано 7 заявок. Увеличение количества участников торгов привело к снижению расходов бюджетов всех уровней. При этом в 2020 году были </w:t>
            </w:r>
            <w:r w:rsidR="00CA06EE">
              <w:t>единичные</w:t>
            </w:r>
            <w:r w:rsidRPr="00EB3387">
              <w:t xml:space="preserve"> торги</w:t>
            </w:r>
            <w:r>
              <w:t>,</w:t>
            </w:r>
            <w:r w:rsidRPr="00EB3387">
              <w:t xml:space="preserve"> на которые не было подано ни одной заявки</w:t>
            </w:r>
            <w:r w:rsidR="00DD556F">
              <w:t>.</w:t>
            </w:r>
          </w:p>
        </w:tc>
      </w:tr>
      <w:tr w:rsidR="00415E45" w:rsidRPr="00FA5CF6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FA5CF6">
              <w:rPr>
                <w:b/>
                <w:color w:val="2D2D2D"/>
              </w:rPr>
              <w:lastRenderedPageBreak/>
              <w:t>3</w:t>
            </w:r>
          </w:p>
        </w:tc>
        <w:tc>
          <w:tcPr>
            <w:tcW w:w="147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FA5CF6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Устранение избыточного муниципального регулирования и снижение административных барьеров</w:t>
            </w:r>
          </w:p>
        </w:tc>
      </w:tr>
      <w:tr w:rsidR="00EB3387" w:rsidRPr="00BE7241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387" w:rsidRDefault="00EB3387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3387" w:rsidRDefault="00EB3387" w:rsidP="00371D71">
            <w:pPr>
              <w:spacing w:line="315" w:lineRule="atLeast"/>
              <w:textAlignment w:val="baseline"/>
            </w:pPr>
            <w:r>
              <w:t xml:space="preserve">Проведение </w:t>
            </w:r>
            <w:proofErr w:type="gramStart"/>
            <w:r>
              <w:t>оценки регулирующего воздействия проектов муниципальных нормативных правовых актов городского округа</w:t>
            </w:r>
            <w:proofErr w:type="gramEnd"/>
            <w:r>
              <w:t xml:space="preserve"> Спасск-Дальний, экспертизы муниципальных нормативных актов городского округа,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371D71">
            <w:pPr>
              <w:spacing w:line="315" w:lineRule="atLeast"/>
              <w:textAlignment w:val="baseline"/>
            </w:pPr>
            <w:r w:rsidRPr="00527133"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371D71">
            <w:pPr>
              <w:spacing w:line="315" w:lineRule="atLeast"/>
              <w:textAlignment w:val="baseline"/>
            </w:pPr>
            <w:r>
              <w:t>2020 год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Pr="00EB3387" w:rsidRDefault="00EB3387" w:rsidP="00DD556F">
            <w:pPr>
              <w:spacing w:line="315" w:lineRule="atLeast"/>
              <w:jc w:val="both"/>
              <w:textAlignment w:val="baseline"/>
            </w:pPr>
            <w:r w:rsidRPr="00EB3387">
              <w:t xml:space="preserve">Выполнены показатели по проведению </w:t>
            </w:r>
            <w:proofErr w:type="gramStart"/>
            <w:r w:rsidRPr="00EB3387">
              <w:t>экспертиз мероприятий Дорожной карты стандарта инвестиционного климата</w:t>
            </w:r>
            <w:proofErr w:type="gramEnd"/>
            <w:r w:rsidRPr="00EB3387">
              <w:t xml:space="preserve">. Совету представлены материалы докладчиков. Всего с начала года проведено пять процедур оценки регулирующего воздействия проектов муниципальных нормативных правовых актов, в том числе управление экономики две процедуры оценки, управление градостроительства две процедуры оценки, управлением земельных и имущественных отношений проведена одна процедура оценки регулирующего воздействия.  </w:t>
            </w:r>
          </w:p>
        </w:tc>
      </w:tr>
      <w:tr w:rsidR="00EB3387" w:rsidRPr="00BE7241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387" w:rsidRDefault="00EB3387" w:rsidP="005B480E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3.2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3387" w:rsidRDefault="00EB3387" w:rsidP="005B480E">
            <w:pPr>
              <w:textAlignment w:val="baseline"/>
            </w:pPr>
            <w:r>
              <w:t xml:space="preserve">Проведение мониторинга оказываемых муниципальных услуг для юридических лиц и индивидуальных предпринимателей в сравнении с предыдущим отчетным периодом в рамках </w:t>
            </w:r>
            <w:proofErr w:type="gramStart"/>
            <w:r>
              <w:t>проведения мониторинга качества предоставления  муниципальных услуг</w:t>
            </w:r>
            <w:proofErr w:type="gramEnd"/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Pr="00527133" w:rsidRDefault="00EB3387" w:rsidP="005B480E">
            <w:pPr>
              <w:textAlignment w:val="baseline"/>
            </w:pPr>
            <w:r w:rsidRPr="00527133">
              <w:t>Устранение избыточного муниципального регулирования и снижение административных барьеров</w:t>
            </w:r>
            <w: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5B480E">
            <w:pPr>
              <w:textAlignment w:val="baseline"/>
            </w:pPr>
            <w:r>
              <w:t>2020 год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52304F">
            <w:pPr>
              <w:ind w:left="151" w:right="127"/>
              <w:textAlignment w:val="baseline"/>
            </w:pPr>
            <w:r>
              <w:t>В 2020 году в Администрацию ГО Спасск-Дальний поступило всего 729 обращений, из них  37 жалоб.  1 жалоба физического лица относилась к качеству услуги по предоставлению жилья.  Жалоб на качество предоставления услуг от юридических лиц  и индивидуальных предпринимателей не поступало</w:t>
            </w:r>
            <w:r w:rsidR="0052304F">
              <w:t xml:space="preserve">. </w:t>
            </w:r>
            <w:r>
              <w:t xml:space="preserve">От юридических лиц и </w:t>
            </w:r>
            <w:r>
              <w:lastRenderedPageBreak/>
              <w:t>индивидуальных предпринимателей жалоб не было.</w:t>
            </w:r>
          </w:p>
        </w:tc>
      </w:tr>
      <w:tr w:rsidR="00EB3387" w:rsidRPr="00BE7241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387" w:rsidRDefault="00EB3387" w:rsidP="005B480E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3.3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3387" w:rsidRPr="00B57754" w:rsidRDefault="00EB3387" w:rsidP="005B480E">
            <w:r w:rsidRPr="00B57754">
              <w:t xml:space="preserve">Активное оповещение субъектов предпринимательской деятельности </w:t>
            </w:r>
            <w:proofErr w:type="gramStart"/>
            <w:r w:rsidRPr="00B57754">
              <w:t>через</w:t>
            </w:r>
            <w:proofErr w:type="gramEnd"/>
            <w:r w:rsidRPr="00B57754">
              <w:t xml:space="preserve"> </w:t>
            </w:r>
          </w:p>
          <w:p w:rsidR="00EB3387" w:rsidRPr="00B57754" w:rsidRDefault="00EB3387" w:rsidP="005B480E">
            <w:r w:rsidRPr="00B57754">
              <w:t>средства массовой информации, сеть «Интернет</w:t>
            </w:r>
            <w:r>
              <w:t>»</w:t>
            </w:r>
            <w:r w:rsidRPr="00B57754">
              <w:t xml:space="preserve"> о возможности предоставления государственных и муниципальных услуг, оказываемых на территории </w:t>
            </w:r>
            <w:r>
              <w:t>городского округа Спасск-Дальний</w:t>
            </w:r>
            <w:r w:rsidRPr="00B57754">
              <w:t>, в МФЦ</w:t>
            </w:r>
          </w:p>
          <w:p w:rsidR="00EB3387" w:rsidRPr="00B57754" w:rsidRDefault="00EB3387" w:rsidP="005B480E">
            <w:pPr>
              <w:textAlignment w:val="baseline"/>
            </w:pP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Pr="00527133" w:rsidRDefault="00EB3387" w:rsidP="005B480E">
            <w:r w:rsidRPr="00527133">
              <w:t>Доля индивидуальных предпринимателей и юридических лиц, воспользовавшихся</w:t>
            </w:r>
            <w:r>
              <w:t xml:space="preserve"> </w:t>
            </w:r>
            <w:r w:rsidRPr="00527133">
              <w:t xml:space="preserve">возможностью предоставления государственных и муниципальных услуг через МФЦ </w:t>
            </w:r>
          </w:p>
          <w:p w:rsidR="00EB3387" w:rsidRDefault="00EB3387" w:rsidP="005B480E">
            <w:pPr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5B480E">
            <w:pPr>
              <w:textAlignment w:val="baseline"/>
            </w:pPr>
            <w:r>
              <w:t>2020 год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Pr="00CF2A0A" w:rsidRDefault="00EB3387" w:rsidP="005B480E">
            <w:pPr>
              <w:ind w:left="151" w:right="125"/>
              <w:textAlignment w:val="baseline"/>
            </w:pPr>
            <w:r w:rsidRPr="00CF2A0A">
              <w:t>В 2020 году  в газете  «Сфера деятельности» и на официальном сайте правовой информации ГО Спасск-Дальний размещена информация об утверждении 4 и внесении изменений в 28 административных регламентов предоставления  (исполнения) муниципальных услуг (функций)  в сфере  образования, градостроительной деятельности, землеустройства, дорожного хозяйства, предоставления жилья,  муниципального контроля.</w:t>
            </w:r>
          </w:p>
          <w:p w:rsidR="00EB3387" w:rsidRPr="00CF2A0A" w:rsidRDefault="00EB3387" w:rsidP="005B480E">
            <w:pPr>
              <w:tabs>
                <w:tab w:val="left" w:pos="0"/>
              </w:tabs>
              <w:ind w:left="151" w:right="125"/>
              <w:jc w:val="both"/>
            </w:pPr>
            <w:r w:rsidRPr="00CF2A0A">
              <w:t xml:space="preserve">В целях  популяризации государственной информационной системы «Региональный портал государственных и муниципальных услуг Приморского края» </w:t>
            </w:r>
            <w:r>
              <w:t xml:space="preserve">проведены мероприятия </w:t>
            </w:r>
            <w:r w:rsidRPr="00CF2A0A">
              <w:t>по информированию населения городского округа Спасск-Дальний о преимуществах получения гражданами типовых муниципальных услуг в электронном виде с использованием РПГУ.</w:t>
            </w:r>
          </w:p>
          <w:p w:rsidR="00EB3387" w:rsidRPr="00CF2A0A" w:rsidRDefault="00EB3387" w:rsidP="005B480E">
            <w:pPr>
              <w:pStyle w:val="ab"/>
              <w:spacing w:before="0" w:beforeAutospacing="0" w:after="0" w:afterAutospacing="0"/>
              <w:ind w:left="151" w:right="125"/>
              <w:jc w:val="both"/>
            </w:pPr>
            <w:proofErr w:type="gramStart"/>
            <w:r>
              <w:t>В октябре 2020 г. в газетах</w:t>
            </w:r>
            <w:r w:rsidRPr="00CF2A0A">
              <w:t xml:space="preserve"> «Спасск» </w:t>
            </w:r>
            <w:r>
              <w:t>и «Сфера деятельности» и в сетевом издании «Официальный сайт правовой информации  ГО Спасск-Дальний» опубликована с</w:t>
            </w:r>
            <w:r w:rsidRPr="00CF2A0A">
              <w:t>татья «</w:t>
            </w:r>
            <w:proofErr w:type="spellStart"/>
            <w:r w:rsidRPr="00CF2A0A">
              <w:t>Цифровизация</w:t>
            </w:r>
            <w:proofErr w:type="spellEnd"/>
            <w:r w:rsidRPr="00CF2A0A">
              <w:t xml:space="preserve"> муниципальных услуг в градостроительной и земельной сферах».</w:t>
            </w:r>
            <w:proofErr w:type="gramEnd"/>
          </w:p>
          <w:p w:rsidR="00EB3387" w:rsidRDefault="00EB3387" w:rsidP="005B480E">
            <w:pPr>
              <w:ind w:left="151" w:right="127"/>
              <w:textAlignment w:val="baseline"/>
            </w:pPr>
          </w:p>
        </w:tc>
      </w:tr>
      <w:tr w:rsidR="00EB3387" w:rsidRPr="00BE7241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387" w:rsidRDefault="00EB3387" w:rsidP="005B480E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3.4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3387" w:rsidRPr="00B57754" w:rsidRDefault="00EB3387" w:rsidP="005B480E">
            <w:r>
              <w:t>Оптимизация процессов предоставления муниципальных услуг для субъектов предпринимательской деятельности путем сокращения сроков и снижения их стоимости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Pr="00527133" w:rsidRDefault="00EB3387" w:rsidP="005B480E">
            <w:r w:rsidRPr="00527133"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5B480E">
            <w:pPr>
              <w:textAlignment w:val="baseline"/>
            </w:pPr>
            <w:r>
              <w:t>2020 год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Pr="00352B03" w:rsidRDefault="00EB3387" w:rsidP="005B480E">
            <w:pPr>
              <w:ind w:left="151" w:right="127"/>
              <w:jc w:val="both"/>
              <w:textAlignment w:val="baseline"/>
            </w:pPr>
            <w:r>
              <w:t>В  2020 г. в рамках оптимизации процессов предоставления муниципальных услуг сокращены сроки предоставления 2 муниципальных услуг</w:t>
            </w:r>
            <w:r w:rsidRPr="00352B03">
              <w:t>:</w:t>
            </w:r>
          </w:p>
          <w:p w:rsidR="00EB3387" w:rsidRPr="001254F1" w:rsidRDefault="00EB3387" w:rsidP="005B480E">
            <w:pPr>
              <w:ind w:left="151" w:right="127"/>
              <w:jc w:val="both"/>
            </w:pPr>
            <w:r w:rsidRPr="001254F1">
              <w:t>- выдача разрешений на ввод объектов в эксплуатацию – с 7 до 5 дней;</w:t>
            </w:r>
          </w:p>
          <w:p w:rsidR="00EB3387" w:rsidRDefault="00EB3387" w:rsidP="00141625">
            <w:pPr>
              <w:pStyle w:val="aa"/>
              <w:numPr>
                <w:ilvl w:val="0"/>
                <w:numId w:val="14"/>
              </w:numPr>
              <w:tabs>
                <w:tab w:val="left" w:pos="293"/>
              </w:tabs>
              <w:ind w:left="151" w:right="127" w:firstLine="0"/>
              <w:jc w:val="both"/>
              <w:textAlignment w:val="baseline"/>
            </w:pPr>
            <w:r>
              <w:t>выдача разрешений на строительство – с 7 до 5 дней.</w:t>
            </w:r>
          </w:p>
          <w:p w:rsidR="00EB3387" w:rsidRPr="00352B03" w:rsidRDefault="00EB3387" w:rsidP="005B480E">
            <w:pPr>
              <w:pStyle w:val="aa"/>
              <w:tabs>
                <w:tab w:val="left" w:pos="293"/>
              </w:tabs>
              <w:ind w:left="151" w:right="127"/>
              <w:jc w:val="both"/>
              <w:textAlignment w:val="baseline"/>
            </w:pPr>
            <w:r>
              <w:lastRenderedPageBreak/>
              <w:t>В 18 регламентов муниципальных услуг, предоставление которых обеспечено в 2020 году через Региональный портал государственных и муниципальных услуг (РПГУ),  внесены соответствующие дополнения о возможности получения данных услуг через РПГУ.</w:t>
            </w:r>
          </w:p>
        </w:tc>
      </w:tr>
      <w:tr w:rsidR="00EB3387" w:rsidRPr="00FA5CF6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387" w:rsidRPr="00FA5CF6" w:rsidRDefault="00EB3387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FA5CF6">
              <w:rPr>
                <w:b/>
                <w:color w:val="2D2D2D"/>
              </w:rPr>
              <w:lastRenderedPageBreak/>
              <w:t>4</w:t>
            </w:r>
          </w:p>
        </w:tc>
        <w:tc>
          <w:tcPr>
            <w:tcW w:w="147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3387" w:rsidRDefault="00EB3387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Совершенствование процессов управления объектами муниципальной собственности</w:t>
            </w:r>
          </w:p>
          <w:p w:rsidR="00EB3387" w:rsidRPr="00FA5CF6" w:rsidRDefault="00EB3387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EB3387" w:rsidRPr="00BE7241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387" w:rsidRDefault="00EB3387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3387" w:rsidRDefault="00EB3387" w:rsidP="00371D71">
            <w:pPr>
              <w:spacing w:line="315" w:lineRule="atLeast"/>
              <w:textAlignment w:val="baseline"/>
            </w:pPr>
            <w:r>
              <w:t>Проведение мониторинга задолженности в отношении сделок с муниципальным имуществом:</w:t>
            </w:r>
          </w:p>
          <w:p w:rsidR="00EB3387" w:rsidRPr="00BE41AD" w:rsidRDefault="00EB3387" w:rsidP="00415E45">
            <w:pPr>
              <w:pStyle w:val="aa"/>
              <w:numPr>
                <w:ilvl w:val="0"/>
                <w:numId w:val="10"/>
              </w:numPr>
              <w:spacing w:line="315" w:lineRule="atLeast"/>
              <w:textAlignment w:val="baseline"/>
            </w:pPr>
            <w:r>
              <w:t>п</w:t>
            </w:r>
            <w:r w:rsidRPr="00BE41AD">
              <w:t xml:space="preserve">о </w:t>
            </w:r>
            <w:r>
              <w:t>арендной плате с расчетом пени</w:t>
            </w:r>
            <w:r w:rsidRPr="00BE41AD">
              <w:t>;</w:t>
            </w:r>
          </w:p>
          <w:p w:rsidR="00EB3387" w:rsidRPr="00BE41AD" w:rsidRDefault="00EB3387" w:rsidP="00415E45">
            <w:pPr>
              <w:pStyle w:val="aa"/>
              <w:numPr>
                <w:ilvl w:val="0"/>
                <w:numId w:val="10"/>
              </w:numPr>
              <w:spacing w:line="315" w:lineRule="atLeast"/>
              <w:textAlignment w:val="baseline"/>
            </w:pPr>
            <w:r w:rsidRPr="00BE41AD">
              <w:t>по договорам купли-продажи, заключенным</w:t>
            </w:r>
            <w:r>
              <w:t xml:space="preserve"> с арендаторами по преимуществе</w:t>
            </w:r>
            <w:r w:rsidRPr="00BE41AD">
              <w:t>нному праву выкупа арендуемого имущества, с расчетом пени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371D71">
            <w:pPr>
              <w:spacing w:line="315" w:lineRule="atLeast"/>
              <w:textAlignment w:val="baseline"/>
            </w:pPr>
            <w:r>
              <w:t xml:space="preserve"> Уменьшение и недопущение роста задолженности в отношении сделок с муниципальным имуществом.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88763A">
            <w:pPr>
              <w:spacing w:line="315" w:lineRule="atLeast"/>
              <w:textAlignment w:val="baseline"/>
            </w:pPr>
            <w:r>
              <w:t>2020 год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9822F9">
            <w:pPr>
              <w:ind w:firstLine="720"/>
              <w:jc w:val="both"/>
              <w:rPr>
                <w:sz w:val="26"/>
                <w:szCs w:val="26"/>
              </w:rPr>
            </w:pPr>
            <w:r w:rsidRPr="007B3EF5">
              <w:rPr>
                <w:sz w:val="26"/>
                <w:szCs w:val="26"/>
              </w:rPr>
              <w:t>Задолженность в отношении сделок с муниципальным имуществом (по арендной плате, по договорам купли-продажи, заключенным с арендаторами по преимущественному праву в</w:t>
            </w:r>
            <w:r>
              <w:rPr>
                <w:sz w:val="26"/>
                <w:szCs w:val="26"/>
              </w:rPr>
              <w:t xml:space="preserve">ыкупа арендуемого имущества) в </w:t>
            </w:r>
            <w:r w:rsidRPr="007B3EF5">
              <w:rPr>
                <w:sz w:val="26"/>
                <w:szCs w:val="26"/>
              </w:rPr>
              <w:t xml:space="preserve">2020 г. </w:t>
            </w:r>
            <w:r w:rsidRPr="000A02A7">
              <w:rPr>
                <w:sz w:val="26"/>
                <w:szCs w:val="26"/>
              </w:rPr>
              <w:t xml:space="preserve">составляет </w:t>
            </w:r>
            <w:r w:rsidRPr="00A4236B">
              <w:rPr>
                <w:sz w:val="26"/>
                <w:szCs w:val="26"/>
              </w:rPr>
              <w:t>594,9 тыс. руб. (</w:t>
            </w:r>
            <w:r w:rsidRPr="000A02A7">
              <w:rPr>
                <w:sz w:val="26"/>
                <w:szCs w:val="26"/>
              </w:rPr>
              <w:t>задолженность</w:t>
            </w:r>
            <w:r>
              <w:rPr>
                <w:sz w:val="26"/>
                <w:szCs w:val="26"/>
              </w:rPr>
              <w:t xml:space="preserve"> по арендной плате за муниципальное имущество </w:t>
            </w:r>
            <w:r w:rsidRPr="007B3EF5">
              <w:rPr>
                <w:sz w:val="26"/>
                <w:szCs w:val="26"/>
              </w:rPr>
              <w:t>по исполнительному листу)</w:t>
            </w:r>
            <w:r>
              <w:rPr>
                <w:sz w:val="26"/>
                <w:szCs w:val="26"/>
              </w:rPr>
              <w:t>.</w:t>
            </w:r>
          </w:p>
          <w:p w:rsidR="00EB3387" w:rsidRDefault="00EB3387" w:rsidP="00371D71">
            <w:pPr>
              <w:spacing w:line="315" w:lineRule="atLeast"/>
              <w:textAlignment w:val="baseline"/>
            </w:pPr>
          </w:p>
        </w:tc>
      </w:tr>
      <w:tr w:rsidR="00EB3387" w:rsidRPr="00BE7241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387" w:rsidRDefault="00EB3387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4.2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3387" w:rsidRDefault="00EB3387" w:rsidP="00371D71">
            <w:pPr>
              <w:spacing w:line="315" w:lineRule="atLeast"/>
              <w:textAlignment w:val="baseline"/>
            </w:pPr>
            <w:r>
              <w:t>Проведение анализа работы  муниципальных унитарных предприятий с целью преобразования в другие организационно-правовые формы и формы собственности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371D71">
            <w:pPr>
              <w:spacing w:line="315" w:lineRule="atLeast"/>
              <w:textAlignment w:val="baseline"/>
            </w:pPr>
            <w:r>
              <w:t>Приватизация имущественных комплексов муниципальных унитарных предприятий с целью снижения ограничения их влияния на условия формирования рыночных отношений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88763A">
            <w:pPr>
              <w:spacing w:line="315" w:lineRule="atLeast"/>
              <w:textAlignment w:val="baseline"/>
            </w:pPr>
            <w:r>
              <w:t>2020 год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9822F9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Преобразование муниципальных унитарных предприятий с целью преобразования их в другие организационно-правовые формы и формы собственности Администрацией городского округа Спасск-Дальний в 2020 году не планировалось.</w:t>
            </w:r>
          </w:p>
          <w:p w:rsidR="00EB3387" w:rsidRDefault="00EB3387" w:rsidP="00153BA6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  <w:p w:rsidR="00EB3387" w:rsidRDefault="00EB3387" w:rsidP="00371D71">
            <w:pPr>
              <w:spacing w:line="315" w:lineRule="atLeast"/>
              <w:textAlignment w:val="baseline"/>
            </w:pPr>
          </w:p>
        </w:tc>
      </w:tr>
      <w:tr w:rsidR="00EB3387" w:rsidRPr="00BE7241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387" w:rsidRDefault="00EB3387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4.3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3387" w:rsidRDefault="00EB3387" w:rsidP="00371D71">
            <w:pPr>
              <w:spacing w:line="315" w:lineRule="atLeast"/>
              <w:textAlignment w:val="baseline"/>
            </w:pPr>
            <w:r>
              <w:t>Актуализация Реестра муниципальной собственности городского округа Спасск-Дальний:</w:t>
            </w:r>
          </w:p>
          <w:p w:rsidR="00EB3387" w:rsidRDefault="00EB3387" w:rsidP="00371D71">
            <w:pPr>
              <w:spacing w:line="315" w:lineRule="atLeast"/>
              <w:textAlignment w:val="baseline"/>
            </w:pPr>
            <w:r w:rsidRPr="008A2679">
              <w:t>-муниципального имущества</w:t>
            </w:r>
            <w:r>
              <w:t xml:space="preserve">, закрепленного на праве оперативного управления и хозяйственного ведения муниципальными </w:t>
            </w:r>
            <w:r>
              <w:lastRenderedPageBreak/>
              <w:t>учреждениями и предприятиями;</w:t>
            </w:r>
          </w:p>
          <w:p w:rsidR="00EB3387" w:rsidRPr="008A2679" w:rsidRDefault="00EB3387" w:rsidP="00804693">
            <w:pPr>
              <w:spacing w:line="315" w:lineRule="atLeast"/>
              <w:textAlignment w:val="baseline"/>
            </w:pPr>
            <w:r w:rsidRPr="008A2679">
              <w:t>-  муниципальной казны</w:t>
            </w:r>
            <w:r>
              <w:t xml:space="preserve"> городского округа Спасск-Дальний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371D71">
            <w:pPr>
              <w:spacing w:line="315" w:lineRule="atLeast"/>
              <w:textAlignment w:val="baseline"/>
            </w:pPr>
            <w:r>
              <w:lastRenderedPageBreak/>
              <w:t>Регистрация права муниципальной собственности с целью вовлечения в хозяйственный оборот муниципального имущества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371D71">
            <w:pPr>
              <w:spacing w:line="315" w:lineRule="atLeast"/>
              <w:textAlignment w:val="baseline"/>
            </w:pPr>
            <w:r>
              <w:t>2020 год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BF7B0F">
            <w:pPr>
              <w:ind w:firstLine="720"/>
              <w:jc w:val="both"/>
              <w:rPr>
                <w:sz w:val="26"/>
                <w:szCs w:val="26"/>
              </w:rPr>
            </w:pPr>
            <w:r w:rsidRPr="003A1879">
              <w:rPr>
                <w:sz w:val="26"/>
                <w:szCs w:val="26"/>
              </w:rPr>
              <w:t xml:space="preserve">С целью вовлечения в хозяйственный оборот объектов недвижимого имущества, расположенных на территории городского округа Спасск-Дальний в </w:t>
            </w:r>
            <w:r>
              <w:rPr>
                <w:sz w:val="26"/>
                <w:szCs w:val="26"/>
              </w:rPr>
              <w:t>2020 году</w:t>
            </w:r>
            <w:r w:rsidRPr="003A1879">
              <w:rPr>
                <w:sz w:val="26"/>
                <w:szCs w:val="26"/>
              </w:rPr>
              <w:t xml:space="preserve"> управлением земельных и имущественных отношений оформлено в муниципальную собственность </w:t>
            </w:r>
            <w:r w:rsidRPr="00AA4EE0">
              <w:rPr>
                <w:sz w:val="26"/>
                <w:szCs w:val="26"/>
              </w:rPr>
              <w:t xml:space="preserve">14 объектов выморочного </w:t>
            </w:r>
            <w:r w:rsidRPr="00AA4EE0">
              <w:rPr>
                <w:sz w:val="26"/>
                <w:szCs w:val="26"/>
              </w:rPr>
              <w:lastRenderedPageBreak/>
              <w:t>имущества (5 квартир + 1 комната + 8 жилых домов).</w:t>
            </w:r>
            <w:r w:rsidRPr="00866EA1">
              <w:rPr>
                <w:sz w:val="26"/>
                <w:szCs w:val="26"/>
              </w:rPr>
              <w:t xml:space="preserve"> </w:t>
            </w:r>
          </w:p>
          <w:p w:rsidR="00EB3387" w:rsidRDefault="00EB3387" w:rsidP="00C4398B">
            <w:pPr>
              <w:spacing w:line="315" w:lineRule="atLeast"/>
              <w:ind w:firstLine="435"/>
              <w:textAlignment w:val="baseline"/>
            </w:pPr>
          </w:p>
        </w:tc>
      </w:tr>
      <w:tr w:rsidR="00EB3387" w:rsidRPr="00BE7241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387" w:rsidRDefault="00EB3387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4.4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3387" w:rsidRDefault="00EB3387" w:rsidP="00371D71">
            <w:pPr>
              <w:spacing w:line="315" w:lineRule="atLeast"/>
              <w:textAlignment w:val="baseline"/>
            </w:pPr>
            <w:r>
              <w:t>Проведение комиссий по рассмотрению результатов финансово хозяйственной деятельности муниципальных предприятий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DE1307">
            <w:pPr>
              <w:spacing w:line="315" w:lineRule="atLeast"/>
              <w:textAlignment w:val="baseline"/>
            </w:pPr>
            <w:r>
              <w:t>Повышение эффективности управления объектами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371D71">
            <w:pPr>
              <w:spacing w:line="315" w:lineRule="atLeast"/>
              <w:textAlignment w:val="baseline"/>
            </w:pPr>
            <w:r>
              <w:t>2020 год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Pr="00C61275" w:rsidRDefault="00EB3387" w:rsidP="00C61275">
            <w:pPr>
              <w:ind w:firstLine="709"/>
              <w:jc w:val="both"/>
            </w:pPr>
            <w:r w:rsidRPr="00C61275">
              <w:t>В Администрации городского округа Спасск-Дальний создана комиссия по рассмотрению показателей экономической эффективности  деятельности муниципальных унитарных предприятий, утвержден Реестр показателей экономической эффективности деятельности муниципальных унитарных предприятий.</w:t>
            </w:r>
          </w:p>
          <w:p w:rsidR="00EB3387" w:rsidRPr="00C61275" w:rsidRDefault="00EB3387" w:rsidP="00C61275">
            <w:pPr>
              <w:ind w:firstLine="709"/>
              <w:jc w:val="both"/>
            </w:pPr>
            <w:r w:rsidRPr="00C61275">
              <w:t xml:space="preserve">Комиссия осуществляет: </w:t>
            </w:r>
          </w:p>
          <w:p w:rsidR="00EB3387" w:rsidRPr="00C61275" w:rsidRDefault="00EB3387" w:rsidP="00C61275">
            <w:pPr>
              <w:ind w:firstLine="709"/>
              <w:jc w:val="both"/>
            </w:pPr>
            <w:r w:rsidRPr="00C61275">
              <w:t xml:space="preserve">анализ </w:t>
            </w:r>
            <w:proofErr w:type="gramStart"/>
            <w:r w:rsidRPr="00C61275">
              <w:t>величин показателей экономической эффективности деятельности муниципальных унитарных предприятий</w:t>
            </w:r>
            <w:proofErr w:type="gramEnd"/>
            <w:r w:rsidRPr="00C61275">
              <w:t>;</w:t>
            </w:r>
          </w:p>
          <w:p w:rsidR="00EB3387" w:rsidRPr="00C61275" w:rsidRDefault="00EB3387" w:rsidP="00C61275">
            <w:pPr>
              <w:ind w:firstLine="709"/>
              <w:jc w:val="both"/>
            </w:pPr>
            <w:r w:rsidRPr="00C61275">
              <w:t>оценку достижения унитарными предприятиями утвержденных величин показателей экономической эффективности;</w:t>
            </w:r>
          </w:p>
          <w:p w:rsidR="00EB3387" w:rsidRPr="00C61275" w:rsidRDefault="00EB3387" w:rsidP="00C61275">
            <w:pPr>
              <w:ind w:firstLine="709"/>
              <w:jc w:val="both"/>
            </w:pPr>
            <w:r w:rsidRPr="00C61275">
              <w:t>оценку эффективности управления унитарными предприятиями, определение мер, направленных на повышение эффективности управления ими;</w:t>
            </w:r>
          </w:p>
          <w:p w:rsidR="00EB3387" w:rsidRPr="00C61275" w:rsidRDefault="00EB3387" w:rsidP="00C61275">
            <w:pPr>
              <w:ind w:firstLine="709"/>
              <w:jc w:val="both"/>
            </w:pPr>
            <w:r w:rsidRPr="00C61275">
              <w:t>выявление унитарных предприятий, не достигших утвержденных величин показателей экономической эффективности деятельности, анализ причин не выполнения унитарными предприятиями установленных величин.</w:t>
            </w:r>
          </w:p>
          <w:p w:rsidR="00EB3387" w:rsidRDefault="00EB3387" w:rsidP="00C61275">
            <w:pPr>
              <w:jc w:val="both"/>
              <w:textAlignment w:val="baseline"/>
            </w:pPr>
            <w:r>
              <w:t>В</w:t>
            </w:r>
            <w:r w:rsidRPr="00C61275">
              <w:t xml:space="preserve"> </w:t>
            </w:r>
            <w:r>
              <w:t>2020 году</w:t>
            </w:r>
            <w:r w:rsidRPr="00C61275">
              <w:t xml:space="preserve"> </w:t>
            </w:r>
            <w:r>
              <w:t>проведено четыре заседание</w:t>
            </w:r>
            <w:r w:rsidRPr="00C61275">
              <w:t xml:space="preserve"> комиссии по рассмотрению показателей экономической эффективности деятельности муниципальных унитарных предприятий.</w:t>
            </w:r>
          </w:p>
          <w:p w:rsidR="00E629D0" w:rsidRPr="006F4C33" w:rsidRDefault="00E629D0" w:rsidP="00E629D0">
            <w:pPr>
              <w:ind w:firstLine="709"/>
              <w:jc w:val="both"/>
              <w:rPr>
                <w:sz w:val="26"/>
                <w:szCs w:val="26"/>
              </w:rPr>
            </w:pPr>
            <w:r w:rsidRPr="006F4C33">
              <w:rPr>
                <w:sz w:val="26"/>
                <w:szCs w:val="26"/>
              </w:rPr>
              <w:t>Муниципальными предприятиями городского округа за 9 месяцев 2020 года реализовано това</w:t>
            </w:r>
            <w:r>
              <w:rPr>
                <w:sz w:val="26"/>
                <w:szCs w:val="26"/>
              </w:rPr>
              <w:t>ров и оказано услуг на сумму 69</w:t>
            </w:r>
            <w:r w:rsidRPr="006F4C33">
              <w:rPr>
                <w:sz w:val="26"/>
                <w:szCs w:val="26"/>
              </w:rPr>
              <w:t xml:space="preserve">318 тыс. руб., что к соответствующему периоду 2019 года  </w:t>
            </w:r>
            <w:r w:rsidRPr="006F4C33">
              <w:rPr>
                <w:sz w:val="26"/>
                <w:szCs w:val="26"/>
              </w:rPr>
              <w:lastRenderedPageBreak/>
              <w:t xml:space="preserve">составляет 116 %. </w:t>
            </w:r>
          </w:p>
          <w:p w:rsidR="00E629D0" w:rsidRPr="006F4C33" w:rsidRDefault="00E629D0" w:rsidP="00E629D0">
            <w:pPr>
              <w:ind w:firstLine="709"/>
              <w:jc w:val="both"/>
              <w:rPr>
                <w:sz w:val="26"/>
                <w:szCs w:val="26"/>
              </w:rPr>
            </w:pPr>
            <w:r w:rsidRPr="006F4C33">
              <w:rPr>
                <w:sz w:val="26"/>
                <w:szCs w:val="26"/>
              </w:rPr>
              <w:t>За анализируемый период финансовый результат от деятельности  муниципальных унитарных предприятий городского округа составил 2 062 тыс. руб. прибыли. За аналогичный период 2019 года прибыль составляла 1 860 тыс. руб.</w:t>
            </w:r>
          </w:p>
          <w:p w:rsidR="00E629D0" w:rsidRDefault="00E629D0" w:rsidP="00E629D0">
            <w:pPr>
              <w:ind w:firstLine="709"/>
              <w:jc w:val="both"/>
              <w:rPr>
                <w:sz w:val="26"/>
                <w:szCs w:val="26"/>
              </w:rPr>
            </w:pPr>
            <w:r w:rsidRPr="006F4C33">
              <w:rPr>
                <w:sz w:val="26"/>
                <w:szCs w:val="26"/>
              </w:rPr>
              <w:t>Среднесписочная численность работающих на муниципальных предприятиях городского округа составила 67 человек, по сравнению с 9 месяцами 2019 года сократилась на 4 человека.</w:t>
            </w:r>
          </w:p>
          <w:p w:rsidR="00E629D0" w:rsidRPr="00C61275" w:rsidRDefault="00E629D0" w:rsidP="00C61275">
            <w:pPr>
              <w:jc w:val="both"/>
              <w:textAlignment w:val="baseline"/>
            </w:pPr>
          </w:p>
          <w:p w:rsidR="00EB3387" w:rsidRDefault="00EB3387" w:rsidP="00C61275">
            <w:pPr>
              <w:spacing w:line="315" w:lineRule="atLeast"/>
              <w:jc w:val="both"/>
              <w:textAlignment w:val="baseline"/>
            </w:pPr>
          </w:p>
        </w:tc>
      </w:tr>
      <w:tr w:rsidR="00EB3387" w:rsidRPr="00BE7241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387" w:rsidRPr="005A7F76" w:rsidRDefault="00EB3387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5A7F76">
              <w:rPr>
                <w:b/>
                <w:color w:val="2D2D2D"/>
              </w:rPr>
              <w:lastRenderedPageBreak/>
              <w:t>5</w:t>
            </w:r>
          </w:p>
        </w:tc>
        <w:tc>
          <w:tcPr>
            <w:tcW w:w="147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3387" w:rsidRPr="00F921F7" w:rsidRDefault="00EB3387" w:rsidP="00371D71">
            <w:pPr>
              <w:rPr>
                <w:b/>
              </w:rPr>
            </w:pPr>
            <w:r w:rsidRPr="00F921F7">
              <w:rPr>
                <w:b/>
              </w:rPr>
              <w:t xml:space="preserve">Мероприятия, направленные на обеспечение равных условий доступа к информации о реализации имущества, находящегося </w:t>
            </w:r>
            <w:proofErr w:type="gramStart"/>
            <w:r w:rsidRPr="00F921F7">
              <w:rPr>
                <w:b/>
              </w:rPr>
              <w:t>в</w:t>
            </w:r>
            <w:proofErr w:type="gramEnd"/>
            <w:r w:rsidRPr="00F921F7">
              <w:rPr>
                <w:b/>
              </w:rPr>
              <w:t xml:space="preserve"> </w:t>
            </w:r>
          </w:p>
          <w:p w:rsidR="00EB3387" w:rsidRPr="00F921F7" w:rsidRDefault="00EB3387" w:rsidP="00371D71">
            <w:pPr>
              <w:rPr>
                <w:b/>
              </w:rPr>
            </w:pPr>
            <w:r w:rsidRPr="00F921F7">
              <w:rPr>
                <w:b/>
              </w:rPr>
              <w:t>собственности муниципального образования, а также ресурсов всех видов, находящихся в муниципальной собственности</w:t>
            </w:r>
          </w:p>
          <w:p w:rsidR="00EB3387" w:rsidRPr="00F921F7" w:rsidRDefault="00EB3387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EB3387" w:rsidRPr="00BE7241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387" w:rsidRDefault="00EB3387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5.1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3387" w:rsidRDefault="00EB3387" w:rsidP="00371D71">
            <w:pPr>
              <w:spacing w:line="315" w:lineRule="atLeast"/>
              <w:textAlignment w:val="baseline"/>
            </w:pPr>
            <w:r>
              <w:t>Размещение в открытом доступе информации о реализации муниципального имущества, а также ресурсов всех видов, находящихся в муниципальной собственности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371D71">
            <w:pPr>
              <w:spacing w:line="315" w:lineRule="atLeast"/>
              <w:textAlignment w:val="baseline"/>
            </w:pPr>
            <w:r>
              <w:t>Обеспечение равных условий доступа к информации о реализации имущества, находящегося в муниципальной собственности, а также ресурсов всех видов, находящихся в муниципальной собственности</w:t>
            </w:r>
          </w:p>
          <w:p w:rsidR="00EB3387" w:rsidRDefault="00EB3387" w:rsidP="00371D71">
            <w:pPr>
              <w:spacing w:line="315" w:lineRule="atLeast"/>
              <w:textAlignment w:val="baseline"/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88763A">
            <w:pPr>
              <w:spacing w:line="315" w:lineRule="atLeast"/>
              <w:textAlignment w:val="baseline"/>
            </w:pPr>
            <w:r>
              <w:t>2020 год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FE7995">
            <w:pPr>
              <w:spacing w:line="315" w:lineRule="atLeast"/>
              <w:textAlignment w:val="baseline"/>
            </w:pPr>
            <w:proofErr w:type="gramStart"/>
            <w:r w:rsidRPr="00E61C29">
              <w:rPr>
                <w:sz w:val="26"/>
                <w:szCs w:val="26"/>
              </w:rPr>
              <w:t>Информация о реализации муниципального имущества, а также ресурсов всех видов, находящихся в муниципальной собственности</w:t>
            </w:r>
            <w:r>
              <w:rPr>
                <w:sz w:val="26"/>
                <w:szCs w:val="26"/>
              </w:rPr>
              <w:t xml:space="preserve"> в целях обеспечения равных условий доступа к такой информации размещается на сайте Российской Федерации в сети «Интернет» для размещения информации о проведении торгов: </w:t>
            </w:r>
            <w:hyperlink r:id="rId6" w:history="1">
              <w:r w:rsidRPr="00D52C23">
                <w:rPr>
                  <w:rStyle w:val="a6"/>
                  <w:sz w:val="26"/>
                  <w:szCs w:val="26"/>
                </w:rPr>
                <w:t>www.torgi.gov.ru</w:t>
              </w:r>
            </w:hyperlink>
            <w:r>
              <w:rPr>
                <w:sz w:val="26"/>
                <w:szCs w:val="26"/>
              </w:rPr>
              <w:t>, а также на официальном сайте городского округа Спасск-Дальний в сети Интернет в разделе «Торги муниципальное имущество».</w:t>
            </w:r>
            <w:proofErr w:type="gramEnd"/>
          </w:p>
        </w:tc>
      </w:tr>
      <w:tr w:rsidR="00EB3387" w:rsidRPr="00FA5CF6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387" w:rsidRPr="00FA5CF6" w:rsidRDefault="00EB3387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>6</w:t>
            </w:r>
          </w:p>
        </w:tc>
        <w:tc>
          <w:tcPr>
            <w:tcW w:w="147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3387" w:rsidRDefault="00EB3387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 xml:space="preserve">Содействие развитию практики применения механизмов </w:t>
            </w:r>
            <w:proofErr w:type="spellStart"/>
            <w:r w:rsidRPr="00FA5CF6">
              <w:rPr>
                <w:b/>
              </w:rPr>
              <w:t>муниципально-частного</w:t>
            </w:r>
            <w:proofErr w:type="spellEnd"/>
            <w:r w:rsidRPr="00FA5CF6">
              <w:rPr>
                <w:b/>
              </w:rPr>
              <w:t xml:space="preserve">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</w:t>
            </w:r>
          </w:p>
          <w:p w:rsidR="00EB3387" w:rsidRPr="00FA5CF6" w:rsidRDefault="00EB3387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EB3387" w:rsidRPr="00BE7241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387" w:rsidRDefault="00EB3387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6.1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3387" w:rsidRPr="008F682C" w:rsidRDefault="00EB3387" w:rsidP="00371D71">
            <w:pPr>
              <w:spacing w:line="315" w:lineRule="atLeast"/>
              <w:textAlignment w:val="baseline"/>
            </w:pPr>
            <w:r w:rsidRPr="008F682C">
              <w:t xml:space="preserve">Формирование и развитие нормативной правовой базы реализации проектов </w:t>
            </w:r>
            <w:proofErr w:type="spellStart"/>
            <w:r w:rsidRPr="008F682C">
              <w:t>муниципально-частного</w:t>
            </w:r>
            <w:proofErr w:type="spellEnd"/>
            <w:r w:rsidRPr="008F682C">
              <w:t xml:space="preserve"> партнерства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371D71">
            <w:pPr>
              <w:spacing w:line="315" w:lineRule="atLeast"/>
              <w:textAlignment w:val="baseline"/>
            </w:pPr>
            <w:r>
              <w:t>Содействие развитию практики применения механизмов государственно-частного партнерства, заключения  концессионных соглашений</w:t>
            </w:r>
          </w:p>
          <w:p w:rsidR="00EB3387" w:rsidRDefault="00EB3387" w:rsidP="00371D71">
            <w:pPr>
              <w:spacing w:line="315" w:lineRule="atLeast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371D71">
            <w:pPr>
              <w:spacing w:line="315" w:lineRule="atLeast"/>
              <w:textAlignment w:val="baseline"/>
            </w:pPr>
            <w:r>
              <w:t>2020 год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Pr="00E10A8A" w:rsidRDefault="00EB3387" w:rsidP="00B25008">
            <w:pPr>
              <w:ind w:left="151" w:firstLine="293"/>
              <w:jc w:val="both"/>
              <w:rPr>
                <w:sz w:val="26"/>
                <w:szCs w:val="26"/>
              </w:rPr>
            </w:pPr>
            <w:r w:rsidRPr="00E10A8A">
              <w:rPr>
                <w:sz w:val="26"/>
                <w:szCs w:val="26"/>
              </w:rPr>
              <w:t xml:space="preserve">В целях реализации проектов </w:t>
            </w:r>
            <w:proofErr w:type="spellStart"/>
            <w:r w:rsidRPr="00E10A8A">
              <w:rPr>
                <w:sz w:val="26"/>
                <w:szCs w:val="26"/>
              </w:rPr>
              <w:t>муниципально-частного</w:t>
            </w:r>
            <w:proofErr w:type="spellEnd"/>
            <w:r w:rsidRPr="00E10A8A">
              <w:rPr>
                <w:sz w:val="26"/>
                <w:szCs w:val="26"/>
              </w:rPr>
              <w:t xml:space="preserve"> партнерства и заключения концессионных соглашений разработаны сле</w:t>
            </w:r>
            <w:r>
              <w:rPr>
                <w:sz w:val="26"/>
                <w:szCs w:val="26"/>
              </w:rPr>
              <w:t>дующие нормативно-правовые акты:</w:t>
            </w:r>
          </w:p>
          <w:p w:rsidR="00EB3387" w:rsidRDefault="00EB3387" w:rsidP="00B25008">
            <w:pPr>
              <w:numPr>
                <w:ilvl w:val="0"/>
                <w:numId w:val="13"/>
              </w:numPr>
              <w:shd w:val="clear" w:color="auto" w:fill="FFFFFF"/>
              <w:suppressAutoHyphens/>
              <w:ind w:left="151" w:firstLine="293"/>
              <w:jc w:val="both"/>
              <w:rPr>
                <w:sz w:val="26"/>
                <w:szCs w:val="26"/>
              </w:rPr>
            </w:pPr>
            <w:r w:rsidRPr="00EC7535">
              <w:rPr>
                <w:sz w:val="26"/>
                <w:szCs w:val="26"/>
              </w:rPr>
              <w:t xml:space="preserve">Положение о </w:t>
            </w:r>
            <w:proofErr w:type="spellStart"/>
            <w:r w:rsidRPr="00EC7535">
              <w:rPr>
                <w:sz w:val="26"/>
                <w:szCs w:val="26"/>
              </w:rPr>
              <w:t>муниципально-частном</w:t>
            </w:r>
            <w:proofErr w:type="spellEnd"/>
            <w:r w:rsidRPr="00EC7535">
              <w:rPr>
                <w:sz w:val="26"/>
                <w:szCs w:val="26"/>
              </w:rPr>
              <w:t xml:space="preserve"> партнерстве на территории городского округа Спасск-Дальний</w:t>
            </w:r>
            <w:r>
              <w:rPr>
                <w:sz w:val="26"/>
                <w:szCs w:val="26"/>
              </w:rPr>
              <w:t>, утверждено п</w:t>
            </w:r>
            <w:r w:rsidRPr="00EC7535">
              <w:rPr>
                <w:sz w:val="26"/>
                <w:szCs w:val="26"/>
              </w:rPr>
              <w:t xml:space="preserve">остановлением главы городского округа </w:t>
            </w:r>
            <w:r>
              <w:rPr>
                <w:sz w:val="26"/>
                <w:szCs w:val="26"/>
              </w:rPr>
              <w:t xml:space="preserve">Спасск-Дальний от 21 ноября 2016 года </w:t>
            </w:r>
            <w:r w:rsidRPr="00EC7535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16-п.</w:t>
            </w:r>
          </w:p>
          <w:p w:rsidR="00EB3387" w:rsidRDefault="00EB3387" w:rsidP="00B25008">
            <w:pPr>
              <w:numPr>
                <w:ilvl w:val="0"/>
                <w:numId w:val="13"/>
              </w:numPr>
              <w:shd w:val="clear" w:color="auto" w:fill="FFFFFF"/>
              <w:suppressAutoHyphens/>
              <w:ind w:left="151" w:firstLine="293"/>
              <w:jc w:val="both"/>
              <w:rPr>
                <w:sz w:val="26"/>
                <w:szCs w:val="26"/>
              </w:rPr>
            </w:pPr>
            <w:r w:rsidRPr="00E10A8A">
              <w:rPr>
                <w:sz w:val="26"/>
                <w:szCs w:val="26"/>
              </w:rPr>
              <w:t>Положение о концессионных соглашениях в отношении недвижимого имущества городского округа Спасск-Дальний», утвержденное решением Думы городского округа Спасск-Дальний от 26 мая 2016 года № 16-НПА</w:t>
            </w:r>
            <w:r>
              <w:rPr>
                <w:sz w:val="26"/>
                <w:szCs w:val="26"/>
              </w:rPr>
              <w:t>.</w:t>
            </w:r>
          </w:p>
          <w:p w:rsidR="00EB3387" w:rsidRDefault="00EB3387" w:rsidP="00B25008">
            <w:pPr>
              <w:numPr>
                <w:ilvl w:val="0"/>
                <w:numId w:val="13"/>
              </w:numPr>
              <w:shd w:val="clear" w:color="auto" w:fill="FFFFFF"/>
              <w:suppressAutoHyphens/>
              <w:ind w:left="151" w:firstLine="293"/>
              <w:jc w:val="both"/>
              <w:rPr>
                <w:sz w:val="26"/>
                <w:szCs w:val="26"/>
              </w:rPr>
            </w:pPr>
            <w:r w:rsidRPr="00E10A8A">
              <w:rPr>
                <w:sz w:val="26"/>
                <w:szCs w:val="26"/>
              </w:rPr>
              <w:t>Постановление Администрации городского округа Спасск-Дальний от 18.07.2016 г. № 369-па «Об уполномоченном органе на рассмотрение предложений о заключении концессионных соглашений с городским округом Спасск-Дальний, поступивших от лиц, выступающих с инициативой заключения таких концессионных соглашений»</w:t>
            </w:r>
            <w:r>
              <w:rPr>
                <w:sz w:val="26"/>
                <w:szCs w:val="26"/>
              </w:rPr>
              <w:t>.</w:t>
            </w:r>
          </w:p>
          <w:p w:rsidR="00EB3387" w:rsidRDefault="00EB3387" w:rsidP="00B25008">
            <w:pPr>
              <w:numPr>
                <w:ilvl w:val="0"/>
                <w:numId w:val="13"/>
              </w:numPr>
              <w:shd w:val="clear" w:color="auto" w:fill="FFFFFF"/>
              <w:suppressAutoHyphens/>
              <w:ind w:left="151" w:firstLine="293"/>
              <w:jc w:val="both"/>
              <w:rPr>
                <w:sz w:val="26"/>
                <w:szCs w:val="26"/>
              </w:rPr>
            </w:pPr>
            <w:r w:rsidRPr="00E10A8A">
              <w:rPr>
                <w:sz w:val="26"/>
                <w:szCs w:val="26"/>
              </w:rPr>
              <w:t xml:space="preserve">Постановление главы городского округа Спасск-Дальний от 14.05.2019 г. </w:t>
            </w:r>
            <w:r>
              <w:rPr>
                <w:sz w:val="26"/>
                <w:szCs w:val="26"/>
              </w:rPr>
              <w:t xml:space="preserve">          </w:t>
            </w:r>
            <w:r w:rsidRPr="00E10A8A">
              <w:rPr>
                <w:sz w:val="26"/>
                <w:szCs w:val="26"/>
              </w:rPr>
              <w:t xml:space="preserve">№ 15-п «Об уполномоченном органе, осуществляющем полномочия в сфере </w:t>
            </w:r>
            <w:proofErr w:type="spellStart"/>
            <w:r w:rsidRPr="00E10A8A">
              <w:rPr>
                <w:sz w:val="26"/>
                <w:szCs w:val="26"/>
              </w:rPr>
              <w:t>муниципально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10A8A">
              <w:rPr>
                <w:sz w:val="26"/>
                <w:szCs w:val="26"/>
              </w:rPr>
              <w:t>- частного партнерства на территории городского округа Спасск-Дальний».</w:t>
            </w:r>
          </w:p>
          <w:p w:rsidR="00EB3387" w:rsidRDefault="00EB3387" w:rsidP="00B25008">
            <w:pPr>
              <w:numPr>
                <w:ilvl w:val="0"/>
                <w:numId w:val="13"/>
              </w:numPr>
              <w:shd w:val="clear" w:color="auto" w:fill="FFFFFF"/>
              <w:suppressAutoHyphens/>
              <w:ind w:left="151" w:firstLine="2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Постановления Администрации городского округа Спасск-Дальний № 414-па от 27.09.2019 г. «О согласовании перечня объектов, в отношении которых в 2020 году планируется заключение концессионных соглашений».</w:t>
            </w:r>
          </w:p>
          <w:p w:rsidR="00EB3387" w:rsidRPr="006A02B6" w:rsidRDefault="00EB3387" w:rsidP="00B25008">
            <w:pPr>
              <w:numPr>
                <w:ilvl w:val="0"/>
                <w:numId w:val="13"/>
              </w:numPr>
              <w:shd w:val="clear" w:color="auto" w:fill="FFFFFF"/>
              <w:suppressAutoHyphens/>
              <w:ind w:left="151" w:firstLine="293"/>
              <w:jc w:val="both"/>
              <w:rPr>
                <w:sz w:val="26"/>
                <w:szCs w:val="26"/>
              </w:rPr>
            </w:pPr>
            <w:r w:rsidRPr="006A02B6">
              <w:rPr>
                <w:sz w:val="26"/>
                <w:szCs w:val="26"/>
              </w:rPr>
              <w:t xml:space="preserve">Постановления Администрации городского округа Спасск-Дальний № 415-па от 27.09.2019 г. «О согласовании перечня объектов, в отношении которых в 2020 году планируется </w:t>
            </w:r>
            <w:r>
              <w:rPr>
                <w:sz w:val="26"/>
                <w:szCs w:val="26"/>
              </w:rPr>
              <w:t xml:space="preserve">заключение </w:t>
            </w:r>
            <w:r w:rsidRPr="006A02B6">
              <w:rPr>
                <w:sz w:val="26"/>
                <w:szCs w:val="26"/>
              </w:rPr>
              <w:t xml:space="preserve">соглашений о </w:t>
            </w:r>
            <w:proofErr w:type="spellStart"/>
            <w:r w:rsidRPr="006A02B6">
              <w:rPr>
                <w:sz w:val="26"/>
                <w:szCs w:val="26"/>
              </w:rPr>
              <w:t>муниципально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6A02B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6A02B6">
              <w:rPr>
                <w:sz w:val="26"/>
                <w:szCs w:val="26"/>
              </w:rPr>
              <w:t>частном партнерстве».</w:t>
            </w:r>
          </w:p>
          <w:p w:rsidR="00EB3387" w:rsidRDefault="00EB3387" w:rsidP="00B25008">
            <w:pPr>
              <w:pStyle w:val="aa"/>
              <w:tabs>
                <w:tab w:val="left" w:pos="0"/>
              </w:tabs>
              <w:ind w:left="151" w:firstLine="2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Данные документы размещены на сайте Российской Федерации в сети «Интернет» для размещения информации о проведении торгов: </w:t>
            </w:r>
            <w:hyperlink r:id="rId7" w:history="1">
              <w:r w:rsidRPr="00D52C23">
                <w:rPr>
                  <w:rStyle w:val="a6"/>
                  <w:sz w:val="26"/>
                  <w:szCs w:val="26"/>
                </w:rPr>
                <w:t>www.torgi.gov.ru</w:t>
              </w:r>
            </w:hyperlink>
            <w:r>
              <w:rPr>
                <w:sz w:val="26"/>
                <w:szCs w:val="26"/>
              </w:rPr>
              <w:t xml:space="preserve">, а также на официальном сайте городского округа Спасск-Дальний в сети Интернет в разделе «Инвестиции» подраздел «Инвестиционный стандарт», пункт 9. Изменения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вышеуказанные НПА не вносились.</w:t>
            </w:r>
          </w:p>
          <w:p w:rsidR="00EB3387" w:rsidRDefault="00EB3387" w:rsidP="00B25008">
            <w:pPr>
              <w:ind w:left="151" w:right="-2" w:firstLine="293"/>
              <w:jc w:val="both"/>
            </w:pPr>
            <w:r>
              <w:rPr>
                <w:sz w:val="26"/>
                <w:szCs w:val="26"/>
              </w:rPr>
              <w:tab/>
            </w:r>
          </w:p>
        </w:tc>
      </w:tr>
      <w:tr w:rsidR="00EB3387" w:rsidRPr="00BE7241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387" w:rsidRDefault="00EB3387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6.2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3387" w:rsidRDefault="00EB3387" w:rsidP="00371D71">
            <w:pPr>
              <w:spacing w:line="315" w:lineRule="atLeast"/>
              <w:textAlignment w:val="baseline"/>
            </w:pPr>
            <w:r w:rsidRPr="00373ECF">
              <w:t xml:space="preserve">Размещение информации о реализации проектов </w:t>
            </w:r>
            <w:proofErr w:type="spellStart"/>
            <w:r w:rsidRPr="00373ECF">
              <w:t>муниципально-частного</w:t>
            </w:r>
            <w:proofErr w:type="spellEnd"/>
            <w:r w:rsidRPr="00373ECF">
              <w:t xml:space="preserve"> партнерства на официальном сайте Администрации городского округа</w:t>
            </w:r>
          </w:p>
          <w:p w:rsidR="00EB3387" w:rsidRDefault="00EB3387" w:rsidP="00371D71">
            <w:pPr>
              <w:spacing w:line="315" w:lineRule="atLeast"/>
              <w:textAlignment w:val="baseline"/>
            </w:pPr>
            <w:r w:rsidRPr="00373ECF">
              <w:t xml:space="preserve"> Спасск-Дальний</w:t>
            </w:r>
          </w:p>
          <w:p w:rsidR="00EB3387" w:rsidRPr="00373ECF" w:rsidRDefault="00EB3387" w:rsidP="00371D71">
            <w:pPr>
              <w:spacing w:line="315" w:lineRule="atLeast"/>
              <w:textAlignment w:val="baseline"/>
            </w:pP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371D71">
            <w:pPr>
              <w:spacing w:line="315" w:lineRule="atLeast"/>
              <w:textAlignment w:val="baseline"/>
            </w:pPr>
            <w:r>
              <w:t xml:space="preserve">Обеспечение доступности информации  о проектах </w:t>
            </w:r>
            <w:proofErr w:type="spellStart"/>
            <w:r>
              <w:t>муниципально-частного</w:t>
            </w:r>
            <w:proofErr w:type="spellEnd"/>
            <w:r>
              <w:t xml:space="preserve"> партнерства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371D71">
            <w:pPr>
              <w:spacing w:line="315" w:lineRule="atLeast"/>
              <w:textAlignment w:val="baseline"/>
            </w:pPr>
            <w:r>
              <w:t>2020 год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371D71">
            <w:pPr>
              <w:spacing w:line="315" w:lineRule="atLeast"/>
              <w:textAlignment w:val="baseline"/>
            </w:pPr>
            <w:r>
              <w:rPr>
                <w:sz w:val="26"/>
                <w:szCs w:val="26"/>
              </w:rPr>
              <w:t xml:space="preserve">В 2020 году соглашения о </w:t>
            </w:r>
            <w:proofErr w:type="spellStart"/>
            <w:r>
              <w:rPr>
                <w:sz w:val="26"/>
                <w:szCs w:val="26"/>
              </w:rPr>
              <w:t>муниципально-частном</w:t>
            </w:r>
            <w:proofErr w:type="spellEnd"/>
            <w:r>
              <w:rPr>
                <w:sz w:val="26"/>
                <w:szCs w:val="26"/>
              </w:rPr>
              <w:t xml:space="preserve"> партнерстве на территории городского округа Спасск-Дальний не заключались.</w:t>
            </w:r>
          </w:p>
        </w:tc>
      </w:tr>
      <w:tr w:rsidR="00EB3387" w:rsidRPr="00BE7241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387" w:rsidRDefault="00EB3387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6.3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3387" w:rsidRDefault="00EB3387" w:rsidP="00371D71">
            <w:pPr>
              <w:spacing w:line="315" w:lineRule="atLeast"/>
              <w:textAlignment w:val="baseline"/>
            </w:pPr>
            <w:proofErr w:type="gramStart"/>
            <w:r w:rsidRPr="00373ECF">
              <w:t xml:space="preserve">Формирование предложений </w:t>
            </w:r>
            <w:r>
              <w:t xml:space="preserve"> и передача муниципальных объектов недвижимого имущества, включая не используемые по назначению негосударственным </w:t>
            </w:r>
            <w:r>
              <w:lastRenderedPageBreak/>
              <w:t>(немуниципальным) организациям с применением механизмов государственно-частного партнерства посредством заключения концессионного сохранения в одной из сфер: дошкольное образование, детский отдых и оздоровление, здравоохранение, социальное обслуживание, социальное обслуживание, культура</w:t>
            </w:r>
            <w:proofErr w:type="gramEnd"/>
          </w:p>
          <w:p w:rsidR="00EB3387" w:rsidRPr="00743400" w:rsidRDefault="00EB3387" w:rsidP="00371D71">
            <w:pPr>
              <w:spacing w:line="315" w:lineRule="atLeast"/>
              <w:textAlignment w:val="baseline"/>
            </w:pP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371D71">
            <w:pPr>
              <w:spacing w:line="315" w:lineRule="atLeast"/>
              <w:textAlignment w:val="baseline"/>
            </w:pPr>
            <w:r>
              <w:lastRenderedPageBreak/>
              <w:t xml:space="preserve">Содействие развитию практики применения механизмов государственно-частного партнерства, заключения  </w:t>
            </w:r>
            <w:r>
              <w:lastRenderedPageBreak/>
              <w:t>концессионных соглашений в социальной сфере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136B61">
            <w:pPr>
              <w:spacing w:line="315" w:lineRule="atLeast"/>
              <w:textAlignment w:val="baseline"/>
            </w:pPr>
            <w:r>
              <w:lastRenderedPageBreak/>
              <w:t>2020 год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987F83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концессионные соглашения, в том числе в социальной сфере, на территории городского округа Спасск-Дальний не заключались.</w:t>
            </w:r>
          </w:p>
          <w:p w:rsidR="00EB3387" w:rsidRDefault="00EB3387" w:rsidP="00CC5789">
            <w:pPr>
              <w:spacing w:line="315" w:lineRule="atLeast"/>
              <w:jc w:val="center"/>
              <w:textAlignment w:val="baseline"/>
            </w:pPr>
          </w:p>
        </w:tc>
      </w:tr>
      <w:tr w:rsidR="00EB3387" w:rsidRPr="00FA5CF6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387" w:rsidRPr="00FA5CF6" w:rsidRDefault="00EB3387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lastRenderedPageBreak/>
              <w:t>7</w:t>
            </w:r>
          </w:p>
        </w:tc>
        <w:tc>
          <w:tcPr>
            <w:tcW w:w="147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3387" w:rsidRPr="00FA5CF6" w:rsidRDefault="00EB3387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Развитие механизмов поддержки  технического  и научно технического творчества  детей и молодежи, обучения их правовой и, технологической грамотности и основам цифровой экономики</w:t>
            </w:r>
          </w:p>
        </w:tc>
      </w:tr>
      <w:tr w:rsidR="00EB3387" w:rsidRPr="00BE7241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387" w:rsidRPr="00743400" w:rsidRDefault="00EB3387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743400">
              <w:rPr>
                <w:color w:val="2D2D2D"/>
              </w:rPr>
              <w:t>7.1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3387" w:rsidRDefault="00EB3387" w:rsidP="001F0A38">
            <w:r w:rsidRPr="00743400">
              <w:t xml:space="preserve">Участие в мероприятиях по развитию научно-технического творчества: областных конкурсов технического творчества, соревнований по спортивно-техническим видам </w:t>
            </w:r>
            <w:r>
              <w:t xml:space="preserve"> </w:t>
            </w:r>
            <w:r w:rsidRPr="00743400">
              <w:t xml:space="preserve">спорта, областных конкурсов детского и юношеского </w:t>
            </w:r>
            <w:proofErr w:type="spellStart"/>
            <w:r w:rsidRPr="00743400">
              <w:t>медиатворчества</w:t>
            </w:r>
            <w:proofErr w:type="spellEnd"/>
            <w:r w:rsidRPr="00743400">
              <w:t>, информационных технологий</w:t>
            </w:r>
          </w:p>
          <w:p w:rsidR="00EB3387" w:rsidRPr="00743400" w:rsidRDefault="00EB3387" w:rsidP="001F0A38"/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Pr="00743400" w:rsidRDefault="00EB3387" w:rsidP="00371D71">
            <w:r w:rsidRPr="00743400">
              <w:t xml:space="preserve">Увеличение количества детей и молодежи по участию в мероприятиях, направленных на развитие </w:t>
            </w:r>
            <w:r>
              <w:t>научно-технического творчества</w:t>
            </w:r>
          </w:p>
          <w:p w:rsidR="00EB3387" w:rsidRPr="00743400" w:rsidRDefault="00EB3387" w:rsidP="00371D71">
            <w:pPr>
              <w:spacing w:line="315" w:lineRule="atLeast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Pr="00743400" w:rsidRDefault="00EB3387" w:rsidP="00371D71">
            <w:pPr>
              <w:spacing w:line="315" w:lineRule="atLeast"/>
              <w:textAlignment w:val="baseline"/>
            </w:pPr>
            <w:r>
              <w:t>2020 год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Pr="00D625A3" w:rsidRDefault="00EB3387" w:rsidP="00D625A3">
            <w:pPr>
              <w:jc w:val="both"/>
              <w:rPr>
                <w:color w:val="000000" w:themeColor="text1"/>
              </w:rPr>
            </w:pPr>
            <w:r w:rsidRPr="00D625A3">
              <w:rPr>
                <w:color w:val="000000" w:themeColor="text1"/>
              </w:rPr>
              <w:t xml:space="preserve">В 2020 году 303 учащихся школ и  организаций дополнительного образования детей  приняли участие в таких  мероприятиях, как </w:t>
            </w:r>
          </w:p>
          <w:p w:rsidR="00EB3387" w:rsidRPr="00D625A3" w:rsidRDefault="00EB3387" w:rsidP="00D625A3">
            <w:pPr>
              <w:jc w:val="both"/>
              <w:rPr>
                <w:color w:val="000000" w:themeColor="text1"/>
              </w:rPr>
            </w:pPr>
            <w:r w:rsidRPr="00D625A3">
              <w:rPr>
                <w:color w:val="000000" w:themeColor="text1"/>
              </w:rPr>
              <w:t xml:space="preserve">Первенство Приморского края </w:t>
            </w:r>
            <w:proofErr w:type="gramStart"/>
            <w:r w:rsidRPr="00D625A3">
              <w:rPr>
                <w:color w:val="000000" w:themeColor="text1"/>
              </w:rPr>
              <w:t>по</w:t>
            </w:r>
            <w:proofErr w:type="gramEnd"/>
          </w:p>
          <w:p w:rsidR="00EB3387" w:rsidRPr="00D625A3" w:rsidRDefault="00EB3387" w:rsidP="00D625A3">
            <w:pPr>
              <w:jc w:val="both"/>
              <w:rPr>
                <w:color w:val="000000" w:themeColor="text1"/>
              </w:rPr>
            </w:pPr>
            <w:r w:rsidRPr="00D625A3">
              <w:rPr>
                <w:color w:val="000000" w:themeColor="text1"/>
              </w:rPr>
              <w:t>автомодельному спорту в классе</w:t>
            </w:r>
          </w:p>
          <w:p w:rsidR="00EB3387" w:rsidRPr="00D625A3" w:rsidRDefault="00EB3387" w:rsidP="00D625A3">
            <w:pPr>
              <w:jc w:val="both"/>
              <w:rPr>
                <w:color w:val="000000" w:themeColor="text1"/>
              </w:rPr>
            </w:pPr>
            <w:r w:rsidRPr="00D625A3">
              <w:rPr>
                <w:color w:val="000000" w:themeColor="text1"/>
              </w:rPr>
              <w:t xml:space="preserve">кордовых моделей «аэросани», </w:t>
            </w:r>
          </w:p>
          <w:p w:rsidR="00EB3387" w:rsidRPr="00D625A3" w:rsidRDefault="00EB3387" w:rsidP="00D625A3">
            <w:pPr>
              <w:jc w:val="both"/>
              <w:rPr>
                <w:b/>
                <w:color w:val="000000" w:themeColor="text1"/>
              </w:rPr>
            </w:pPr>
            <w:r w:rsidRPr="00D625A3">
              <w:rPr>
                <w:color w:val="000000" w:themeColor="text1"/>
              </w:rPr>
              <w:t xml:space="preserve">Конкурс в области информационных технологий  </w:t>
            </w:r>
            <w:r w:rsidRPr="00424EB1">
              <w:rPr>
                <w:color w:val="000000" w:themeColor="text1"/>
              </w:rPr>
              <w:t>(«</w:t>
            </w:r>
            <w:proofErr w:type="spellStart"/>
            <w:r w:rsidRPr="00424EB1">
              <w:rPr>
                <w:color w:val="000000" w:themeColor="text1"/>
              </w:rPr>
              <w:t>МедиаБУМ</w:t>
            </w:r>
            <w:proofErr w:type="spellEnd"/>
            <w:r w:rsidRPr="00424EB1">
              <w:rPr>
                <w:color w:val="000000" w:themeColor="text1"/>
              </w:rPr>
              <w:t>», Урок Цифры</w:t>
            </w:r>
            <w:r w:rsidR="002E4519" w:rsidRPr="00424EB1">
              <w:rPr>
                <w:color w:val="000000" w:themeColor="text1"/>
              </w:rPr>
              <w:t>)</w:t>
            </w:r>
            <w:r w:rsidRPr="00424EB1">
              <w:rPr>
                <w:color w:val="000000" w:themeColor="text1"/>
              </w:rPr>
              <w:t>,</w:t>
            </w:r>
          </w:p>
          <w:p w:rsidR="00EB3387" w:rsidRPr="00D625A3" w:rsidRDefault="00424EB1" w:rsidP="00D625A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Краевой конкурс</w:t>
            </w:r>
            <w:r w:rsidR="00EB3387" w:rsidRPr="00D625A3">
              <w:rPr>
                <w:color w:val="000000" w:themeColor="text1"/>
              </w:rPr>
              <w:t xml:space="preserve"> социальной рекламы </w:t>
            </w:r>
            <w:proofErr w:type="spellStart"/>
            <w:r w:rsidR="00EB3387" w:rsidRPr="00D625A3">
              <w:rPr>
                <w:color w:val="000000" w:themeColor="text1"/>
              </w:rPr>
              <w:t>антинаркотической</w:t>
            </w:r>
            <w:proofErr w:type="spellEnd"/>
            <w:r w:rsidR="00EB3387" w:rsidRPr="00D625A3">
              <w:rPr>
                <w:color w:val="000000" w:themeColor="text1"/>
              </w:rPr>
              <w:t xml:space="preserve"> направленности и пропаганды здорового образа жизни «Спасем жизнь вместе!», Дальневосточные соревнования по робототехнике «Профессии будущего 2020»,«Инженерная олимпиада школьников 5-7 классов «Олимпиада Кружкового движения Национальной технологической инициативы </w:t>
            </w:r>
            <w:proofErr w:type="spellStart"/>
            <w:r w:rsidR="00EB3387" w:rsidRPr="00D625A3">
              <w:rPr>
                <w:color w:val="000000" w:themeColor="text1"/>
              </w:rPr>
              <w:t>Junior</w:t>
            </w:r>
            <w:proofErr w:type="spellEnd"/>
            <w:r w:rsidR="00EB3387" w:rsidRPr="00D625A3">
              <w:rPr>
                <w:color w:val="000000" w:themeColor="text1"/>
              </w:rPr>
              <w:t>» по сфере Технологии для космоса,</w:t>
            </w:r>
          </w:p>
          <w:p w:rsidR="00EB3387" w:rsidRPr="00D625A3" w:rsidRDefault="00EB3387" w:rsidP="00D625A3">
            <w:pPr>
              <w:jc w:val="both"/>
              <w:rPr>
                <w:color w:val="000000" w:themeColor="text1"/>
              </w:rPr>
            </w:pPr>
            <w:r w:rsidRPr="00D625A3">
              <w:rPr>
                <w:color w:val="000000" w:themeColor="text1"/>
              </w:rPr>
              <w:t xml:space="preserve">Всероссийская олимпиада школьников по информатике, Соревнования по робототехнике, областные конкурсы технического творчества, соревнования по спортивно-техническим видам  спорта, областные конкурсы детского и юношеского </w:t>
            </w:r>
            <w:proofErr w:type="spellStart"/>
            <w:r w:rsidRPr="00D625A3">
              <w:rPr>
                <w:color w:val="000000" w:themeColor="text1"/>
              </w:rPr>
              <w:t>медиатворчества</w:t>
            </w:r>
            <w:proofErr w:type="spellEnd"/>
            <w:r w:rsidRPr="00D625A3">
              <w:rPr>
                <w:color w:val="000000" w:themeColor="text1"/>
              </w:rPr>
              <w:t xml:space="preserve">, </w:t>
            </w:r>
            <w:r w:rsidRPr="00D625A3">
              <w:rPr>
                <w:color w:val="000000" w:themeColor="text1"/>
              </w:rPr>
              <w:lastRenderedPageBreak/>
              <w:t>информационных технологий</w:t>
            </w:r>
          </w:p>
          <w:p w:rsidR="00EB3387" w:rsidRPr="00D625A3" w:rsidRDefault="00EB3387" w:rsidP="00D625A3">
            <w:pPr>
              <w:jc w:val="both"/>
              <w:rPr>
                <w:color w:val="000000" w:themeColor="text1"/>
              </w:rPr>
            </w:pPr>
            <w:r w:rsidRPr="00D625A3">
              <w:rPr>
                <w:color w:val="000000" w:themeColor="text1"/>
              </w:rPr>
              <w:t xml:space="preserve">Всероссийский открытый фестиваль </w:t>
            </w:r>
            <w:proofErr w:type="spellStart"/>
            <w:r w:rsidRPr="00D625A3">
              <w:rPr>
                <w:color w:val="000000" w:themeColor="text1"/>
              </w:rPr>
              <w:t>медиапроектов</w:t>
            </w:r>
            <w:proofErr w:type="spellEnd"/>
            <w:r w:rsidRPr="00D625A3">
              <w:rPr>
                <w:color w:val="000000" w:themeColor="text1"/>
              </w:rPr>
              <w:t xml:space="preserve"> об организации </w:t>
            </w:r>
            <w:proofErr w:type="gramStart"/>
            <w:r w:rsidRPr="00D625A3">
              <w:rPr>
                <w:color w:val="000000" w:themeColor="text1"/>
              </w:rPr>
              <w:t>детского</w:t>
            </w:r>
            <w:proofErr w:type="gramEnd"/>
          </w:p>
          <w:p w:rsidR="00EB3387" w:rsidRDefault="00EB3387" w:rsidP="00D625A3">
            <w:pPr>
              <w:jc w:val="both"/>
            </w:pPr>
            <w:r w:rsidRPr="00D625A3">
              <w:rPr>
                <w:color w:val="000000" w:themeColor="text1"/>
              </w:rPr>
              <w:t>отдыха и детско-юношеского туризма «Лето в объективе»</w:t>
            </w:r>
            <w:r>
              <w:rPr>
                <w:color w:val="000000" w:themeColor="text1"/>
              </w:rPr>
              <w:t>.</w:t>
            </w:r>
          </w:p>
        </w:tc>
      </w:tr>
      <w:tr w:rsidR="00EB3387" w:rsidRPr="00FA5CF6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387" w:rsidRPr="00FA5CF6" w:rsidRDefault="00EB3387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lastRenderedPageBreak/>
              <w:t>8</w:t>
            </w:r>
          </w:p>
        </w:tc>
        <w:tc>
          <w:tcPr>
            <w:tcW w:w="147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3387" w:rsidRDefault="00EB3387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  <w:p w:rsidR="00EB3387" w:rsidRPr="00FA5CF6" w:rsidRDefault="00EB3387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EB3387" w:rsidRPr="00BE7241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387" w:rsidRDefault="00EB3387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3387" w:rsidRPr="00BB5DC3" w:rsidRDefault="00EB3387" w:rsidP="00371D71">
            <w:r w:rsidRPr="00BB5DC3">
              <w:t xml:space="preserve">Организация совещаний, круглых столов, конференций (форумов), единых информационных дней, пресс-конференций по вопросам развития предпринимательства </w:t>
            </w:r>
          </w:p>
          <w:p w:rsidR="00EB3387" w:rsidRPr="00BB5DC3" w:rsidRDefault="00EB3387" w:rsidP="00371D71">
            <w:pPr>
              <w:spacing w:line="315" w:lineRule="atLeast"/>
              <w:textAlignment w:val="baseline"/>
            </w:pP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371D71">
            <w:pPr>
              <w:spacing w:line="315" w:lineRule="atLeast"/>
              <w:textAlignment w:val="baseline"/>
            </w:pPr>
            <w:r>
              <w:t>Увеличение количества субъектов предпринимательской деятельности на территории городского округа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371D71">
            <w:pPr>
              <w:spacing w:line="315" w:lineRule="atLeast"/>
              <w:textAlignment w:val="baseline"/>
            </w:pPr>
            <w:r>
              <w:t>2020 год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Pr="00002CB3" w:rsidRDefault="00EB3387" w:rsidP="00DC667A">
            <w:pPr>
              <w:ind w:firstLine="708"/>
              <w:jc w:val="both"/>
              <w:rPr>
                <w:sz w:val="26"/>
                <w:szCs w:val="26"/>
              </w:rPr>
            </w:pPr>
            <w:r w:rsidRPr="00002CB3">
              <w:rPr>
                <w:sz w:val="26"/>
                <w:szCs w:val="26"/>
              </w:rPr>
              <w:t>Организация деятельности Совета  осуществляется</w:t>
            </w:r>
            <w:r>
              <w:rPr>
                <w:sz w:val="26"/>
                <w:szCs w:val="26"/>
              </w:rPr>
              <w:t xml:space="preserve">, </w:t>
            </w:r>
            <w:r w:rsidRPr="00002CB3">
              <w:rPr>
                <w:sz w:val="26"/>
                <w:szCs w:val="26"/>
              </w:rPr>
              <w:t>в соответствии с планом работы Совета на год.</w:t>
            </w:r>
            <w:r>
              <w:rPr>
                <w:sz w:val="26"/>
                <w:szCs w:val="26"/>
              </w:rPr>
              <w:t xml:space="preserve"> </w:t>
            </w:r>
            <w:r w:rsidRPr="00002CB3">
              <w:rPr>
                <w:sz w:val="26"/>
                <w:szCs w:val="26"/>
              </w:rPr>
              <w:t xml:space="preserve">Протоколы Совета размещены в </w:t>
            </w:r>
            <w:r>
              <w:rPr>
                <w:sz w:val="26"/>
                <w:szCs w:val="26"/>
              </w:rPr>
              <w:t>сроки, у</w:t>
            </w:r>
            <w:r w:rsidRPr="00002CB3">
              <w:rPr>
                <w:sz w:val="26"/>
                <w:szCs w:val="26"/>
              </w:rPr>
              <w:t xml:space="preserve">становленные  </w:t>
            </w:r>
            <w:r>
              <w:rPr>
                <w:sz w:val="26"/>
                <w:szCs w:val="26"/>
              </w:rPr>
              <w:t>регламентами</w:t>
            </w:r>
            <w:r w:rsidRPr="00002CB3">
              <w:rPr>
                <w:sz w:val="26"/>
                <w:szCs w:val="26"/>
              </w:rPr>
              <w:t>.</w:t>
            </w:r>
          </w:p>
          <w:p w:rsidR="00EB3387" w:rsidRPr="00002CB3" w:rsidRDefault="00EB3387" w:rsidP="00DC667A">
            <w:pPr>
              <w:ind w:firstLine="5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 з</w:t>
            </w:r>
            <w:r w:rsidRPr="00002CB3">
              <w:rPr>
                <w:sz w:val="26"/>
                <w:szCs w:val="26"/>
              </w:rPr>
              <w:t>а  период  2020 года проведено 9 заседаний Совета по содействию развития малого и среднего предпринимательства и контрольно-надзорной деятельности при главе  городского округа Спасск-Дальний из них:</w:t>
            </w:r>
          </w:p>
          <w:p w:rsidR="00EB3387" w:rsidRDefault="00EB3387" w:rsidP="00DC667A">
            <w:pPr>
              <w:pStyle w:val="aa"/>
              <w:tabs>
                <w:tab w:val="left" w:pos="993"/>
              </w:tabs>
              <w:ind w:left="0" w:firstLine="5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</w:t>
            </w:r>
            <w:r w:rsidRPr="00D83D7B">
              <w:rPr>
                <w:sz w:val="26"/>
                <w:szCs w:val="26"/>
              </w:rPr>
              <w:t xml:space="preserve"> заседания Совета по содействию развития малого и среднего предпринимательства и контрольно-надзорной деятельности при главе  городского округа С</w:t>
            </w:r>
            <w:r>
              <w:rPr>
                <w:sz w:val="26"/>
                <w:szCs w:val="26"/>
              </w:rPr>
              <w:t>пасск-Дальний в очном  формате;</w:t>
            </w:r>
          </w:p>
          <w:p w:rsidR="00EB3387" w:rsidRDefault="00EB3387" w:rsidP="00132605">
            <w:pPr>
              <w:pStyle w:val="aa"/>
              <w:tabs>
                <w:tab w:val="left" w:pos="993"/>
              </w:tabs>
              <w:ind w:left="0" w:firstLine="5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C30D5">
              <w:rPr>
                <w:sz w:val="26"/>
                <w:szCs w:val="26"/>
              </w:rPr>
              <w:t>4 заседания Совета по содействию развития малого и среднего предпринимательства и контрольно-надзорной деятельности при главе  городского округа Спасск-Дальний в заочном (дистанционном) формате;</w:t>
            </w:r>
          </w:p>
          <w:p w:rsidR="00EB3387" w:rsidRDefault="00EB3387" w:rsidP="00132605">
            <w:pPr>
              <w:pStyle w:val="aa"/>
              <w:tabs>
                <w:tab w:val="left" w:pos="993"/>
              </w:tabs>
              <w:ind w:left="0" w:firstLine="5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C30D5">
              <w:rPr>
                <w:sz w:val="26"/>
                <w:szCs w:val="26"/>
              </w:rPr>
              <w:t xml:space="preserve">2 заседания Совета по содействию развития малого и среднего предпринимательства и контрольно-надзорной деятельности при главе  </w:t>
            </w:r>
            <w:r w:rsidRPr="00FC30D5">
              <w:rPr>
                <w:sz w:val="26"/>
                <w:szCs w:val="26"/>
              </w:rPr>
              <w:lastRenderedPageBreak/>
              <w:t>городского округа Спасск-Дальний в режиме видеоконференцсвязи.</w:t>
            </w:r>
          </w:p>
          <w:p w:rsidR="00EB3387" w:rsidRDefault="00EB3387" w:rsidP="00132605">
            <w:pPr>
              <w:pStyle w:val="aa"/>
              <w:tabs>
                <w:tab w:val="left" w:pos="993"/>
              </w:tabs>
              <w:ind w:left="0" w:firstLine="5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заседаниях Советов рассматривались вопросы </w:t>
            </w:r>
            <w:r w:rsidRPr="00FC30D5">
              <w:rPr>
                <w:sz w:val="26"/>
                <w:szCs w:val="26"/>
              </w:rPr>
              <w:t>о мерах поддержки на территории Приморского края субъектов малого и среднего предпринимательства: программа льготного кредитования под 8,5%, льготное лизинговое финансирование АО «Корпорация МСП» под 6%; применение льготных тарифов на железнодорожные перевозки минеральных удобрений в направлении регионов Дальнего Востока;</w:t>
            </w:r>
            <w:r>
              <w:rPr>
                <w:sz w:val="26"/>
                <w:szCs w:val="26"/>
              </w:rPr>
              <w:t xml:space="preserve"> </w:t>
            </w:r>
            <w:r w:rsidRPr="00FC30D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финансовой поддержке</w:t>
            </w:r>
            <w:r w:rsidRPr="00FC30D5">
              <w:rPr>
                <w:sz w:val="26"/>
                <w:szCs w:val="26"/>
              </w:rPr>
              <w:t xml:space="preserve"> субъектов малого и среднего предпринимательства из числа в наибольшей степени пострадавших отраслей экономики в условиях ухудшения ситуации в результате распространения новой </w:t>
            </w:r>
            <w:proofErr w:type="spellStart"/>
            <w:r w:rsidRPr="00FC30D5">
              <w:rPr>
                <w:sz w:val="26"/>
                <w:szCs w:val="26"/>
              </w:rPr>
              <w:t>коронавирусной</w:t>
            </w:r>
            <w:proofErr w:type="spellEnd"/>
            <w:r w:rsidRPr="00FC30D5">
              <w:rPr>
                <w:sz w:val="26"/>
                <w:szCs w:val="26"/>
              </w:rPr>
              <w:t xml:space="preserve"> инфекции;</w:t>
            </w:r>
            <w:r>
              <w:rPr>
                <w:sz w:val="26"/>
                <w:szCs w:val="26"/>
              </w:rPr>
              <w:t xml:space="preserve"> </w:t>
            </w:r>
            <w:r w:rsidRPr="00FC30D5">
              <w:rPr>
                <w:sz w:val="26"/>
                <w:szCs w:val="26"/>
              </w:rPr>
              <w:t>об инвестиционной привлекательности городского округа Спасск-Дальний; парк имени Александра Фадеева - территория для развития бизнеса; о реализации национальных проектов городского округа Спасск-Дальний;</w:t>
            </w:r>
            <w:r>
              <w:rPr>
                <w:sz w:val="26"/>
                <w:szCs w:val="26"/>
              </w:rPr>
              <w:t xml:space="preserve"> вопросы </w:t>
            </w:r>
            <w:r w:rsidRPr="00FC30D5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онтрольно-надзорной</w:t>
            </w:r>
            <w:r w:rsidRPr="00FC30D5">
              <w:rPr>
                <w:sz w:val="26"/>
                <w:szCs w:val="26"/>
              </w:rPr>
              <w:t xml:space="preserve"> деятельност</w:t>
            </w:r>
            <w:r>
              <w:rPr>
                <w:sz w:val="26"/>
                <w:szCs w:val="26"/>
              </w:rPr>
              <w:t>и в сфере предпринимательства и др. вопросы, связанные с развитием предпринимательской деятельности.</w:t>
            </w:r>
          </w:p>
          <w:p w:rsidR="00EB3387" w:rsidRPr="00D45FEC" w:rsidRDefault="00EB3387" w:rsidP="00F3709B">
            <w:pPr>
              <w:tabs>
                <w:tab w:val="left" w:pos="4320"/>
                <w:tab w:val="left" w:pos="4500"/>
                <w:tab w:val="left" w:pos="9354"/>
              </w:tabs>
            </w:pPr>
          </w:p>
        </w:tc>
      </w:tr>
      <w:tr w:rsidR="00EB3387" w:rsidRPr="00FA5CF6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387" w:rsidRPr="00FA5CF6" w:rsidRDefault="00EB3387" w:rsidP="0058217A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lastRenderedPageBreak/>
              <w:t>9</w:t>
            </w:r>
          </w:p>
        </w:tc>
        <w:tc>
          <w:tcPr>
            <w:tcW w:w="147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3387" w:rsidRDefault="00EB3387" w:rsidP="0058217A">
            <w:pPr>
              <w:spacing w:line="315" w:lineRule="atLeast"/>
              <w:textAlignment w:val="baseline"/>
              <w:rPr>
                <w:b/>
              </w:rPr>
            </w:pPr>
            <w:r>
              <w:rPr>
                <w:b/>
              </w:rPr>
              <w:t>Формирование условий для создания новых рабочих мест в рамках  реализации инвестиционных проектов</w:t>
            </w:r>
          </w:p>
          <w:p w:rsidR="00EB3387" w:rsidRPr="00FA5CF6" w:rsidRDefault="00EB3387" w:rsidP="0058217A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EB3387" w:rsidRPr="00BE7241" w:rsidTr="00DC3261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387" w:rsidRPr="005716BD" w:rsidRDefault="00EB3387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5716BD">
              <w:rPr>
                <w:color w:val="2D2D2D"/>
                <w:lang w:val="en-US"/>
              </w:rPr>
              <w:t>9</w:t>
            </w:r>
            <w:r w:rsidRPr="005716BD">
              <w:rPr>
                <w:color w:val="2D2D2D"/>
              </w:rPr>
              <w:t>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3387" w:rsidRPr="00AC51CE" w:rsidRDefault="00EB3387" w:rsidP="00371D71">
            <w:pPr>
              <w:spacing w:line="315" w:lineRule="atLeast"/>
              <w:textAlignment w:val="baseline"/>
            </w:pPr>
            <w:r w:rsidRPr="00AC51CE">
              <w:t xml:space="preserve">Количество новых рабочих мест, созданных в рамках реализации инвестиционных </w:t>
            </w:r>
            <w:r w:rsidRPr="00AC51CE">
              <w:lastRenderedPageBreak/>
              <w:t>проектов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Default="00EB3387" w:rsidP="00371D71">
            <w:pPr>
              <w:spacing w:line="315" w:lineRule="atLeast"/>
              <w:textAlignment w:val="baseline"/>
            </w:pPr>
            <w:r>
              <w:lastRenderedPageBreak/>
              <w:t xml:space="preserve">Снижение уровня безработицы на территории городского округа </w:t>
            </w:r>
            <w:r>
              <w:lastRenderedPageBreak/>
              <w:t>Спасск-Дальний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Pr="00902EE5" w:rsidRDefault="00EB3387" w:rsidP="00371D71">
            <w:pPr>
              <w:spacing w:line="315" w:lineRule="atLeast"/>
              <w:textAlignment w:val="baseline"/>
            </w:pPr>
            <w:r>
              <w:lastRenderedPageBreak/>
              <w:t>2020 год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87" w:rsidRPr="00BB418C" w:rsidRDefault="00EB3387" w:rsidP="00DC667A">
            <w:pPr>
              <w:spacing w:line="315" w:lineRule="atLeast"/>
              <w:textAlignment w:val="baseline"/>
            </w:pPr>
            <w:r>
              <w:t xml:space="preserve">В рамках реализации комплексных инвестиционных проектов модернизации на </w:t>
            </w:r>
            <w:r>
              <w:lastRenderedPageBreak/>
              <w:t>территории городского округа за  2020 год создано 114 новых рабочих мест</w:t>
            </w:r>
            <w:r w:rsidRPr="00BB418C">
              <w:t xml:space="preserve">: </w:t>
            </w:r>
            <w:r>
              <w:t xml:space="preserve"> ООО «ДНС Лес» - 14, ООО «</w:t>
            </w:r>
            <w:proofErr w:type="spellStart"/>
            <w:r>
              <w:t>Форестгранд</w:t>
            </w:r>
            <w:proofErr w:type="spellEnd"/>
            <w:r>
              <w:t>» - 100.</w:t>
            </w:r>
          </w:p>
        </w:tc>
      </w:tr>
    </w:tbl>
    <w:p w:rsidR="00415E45" w:rsidRDefault="00415E45" w:rsidP="00415E45"/>
    <w:p w:rsidR="00415E45" w:rsidRDefault="00415E45" w:rsidP="00771487">
      <w:pPr>
        <w:ind w:left="134"/>
        <w:rPr>
          <w:sz w:val="26"/>
          <w:szCs w:val="26"/>
        </w:rPr>
      </w:pPr>
    </w:p>
    <w:sectPr w:rsidR="00415E45" w:rsidSect="00DB25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B7A5D"/>
    <w:multiLevelType w:val="hybridMultilevel"/>
    <w:tmpl w:val="85546D52"/>
    <w:lvl w:ilvl="0" w:tplc="C5BC44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20923"/>
    <w:multiLevelType w:val="hybridMultilevel"/>
    <w:tmpl w:val="57C0E53A"/>
    <w:lvl w:ilvl="0" w:tplc="D568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513E3"/>
    <w:multiLevelType w:val="multilevel"/>
    <w:tmpl w:val="5364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D3C2B5A"/>
    <w:multiLevelType w:val="hybridMultilevel"/>
    <w:tmpl w:val="9CFACD9E"/>
    <w:lvl w:ilvl="0" w:tplc="74043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C6A65"/>
    <w:multiLevelType w:val="hybridMultilevel"/>
    <w:tmpl w:val="883AACF6"/>
    <w:lvl w:ilvl="0" w:tplc="5BD0946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F4423"/>
    <w:multiLevelType w:val="hybridMultilevel"/>
    <w:tmpl w:val="73560CC4"/>
    <w:lvl w:ilvl="0" w:tplc="3BA69BD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30235"/>
    <w:multiLevelType w:val="hybridMultilevel"/>
    <w:tmpl w:val="D5802BA0"/>
    <w:lvl w:ilvl="0" w:tplc="74043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E266A"/>
    <w:multiLevelType w:val="hybridMultilevel"/>
    <w:tmpl w:val="C4BE5E98"/>
    <w:lvl w:ilvl="0" w:tplc="C0949A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F0D7B16"/>
    <w:multiLevelType w:val="hybridMultilevel"/>
    <w:tmpl w:val="003A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4261B"/>
    <w:multiLevelType w:val="hybridMultilevel"/>
    <w:tmpl w:val="42E4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2"/>
  </w:num>
  <w:num w:numId="10">
    <w:abstractNumId w:val="10"/>
  </w:num>
  <w:num w:numId="11">
    <w:abstractNumId w:val="2"/>
  </w:num>
  <w:num w:numId="12">
    <w:abstractNumId w:val="15"/>
  </w:num>
  <w:num w:numId="13">
    <w:abstractNumId w:val="14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0C5B"/>
    <w:rsid w:val="00001B04"/>
    <w:rsid w:val="00004608"/>
    <w:rsid w:val="00004ED5"/>
    <w:rsid w:val="00012129"/>
    <w:rsid w:val="000137C9"/>
    <w:rsid w:val="000159D8"/>
    <w:rsid w:val="00016109"/>
    <w:rsid w:val="00020C92"/>
    <w:rsid w:val="00021380"/>
    <w:rsid w:val="0002150A"/>
    <w:rsid w:val="00022C90"/>
    <w:rsid w:val="00033F2E"/>
    <w:rsid w:val="00037D49"/>
    <w:rsid w:val="00040691"/>
    <w:rsid w:val="00052FB3"/>
    <w:rsid w:val="00053F8D"/>
    <w:rsid w:val="00057C77"/>
    <w:rsid w:val="00060B42"/>
    <w:rsid w:val="00061580"/>
    <w:rsid w:val="000641EF"/>
    <w:rsid w:val="00065F03"/>
    <w:rsid w:val="00066600"/>
    <w:rsid w:val="00066A92"/>
    <w:rsid w:val="000729F0"/>
    <w:rsid w:val="000833FB"/>
    <w:rsid w:val="0009222E"/>
    <w:rsid w:val="0009476E"/>
    <w:rsid w:val="000A0022"/>
    <w:rsid w:val="000A0910"/>
    <w:rsid w:val="000A0BC5"/>
    <w:rsid w:val="000A128D"/>
    <w:rsid w:val="000A15D7"/>
    <w:rsid w:val="000A647F"/>
    <w:rsid w:val="000B2C7D"/>
    <w:rsid w:val="000B39EF"/>
    <w:rsid w:val="000C1E42"/>
    <w:rsid w:val="000C23C5"/>
    <w:rsid w:val="000C7D8D"/>
    <w:rsid w:val="000C7E71"/>
    <w:rsid w:val="000D0484"/>
    <w:rsid w:val="000E054F"/>
    <w:rsid w:val="000E2206"/>
    <w:rsid w:val="000E2D5B"/>
    <w:rsid w:val="000E3881"/>
    <w:rsid w:val="000E3D16"/>
    <w:rsid w:val="000E4D83"/>
    <w:rsid w:val="000E74FB"/>
    <w:rsid w:val="000E777D"/>
    <w:rsid w:val="000F1A4A"/>
    <w:rsid w:val="000F1E51"/>
    <w:rsid w:val="000F2B87"/>
    <w:rsid w:val="000F712C"/>
    <w:rsid w:val="000F7FCF"/>
    <w:rsid w:val="00100463"/>
    <w:rsid w:val="00100EFE"/>
    <w:rsid w:val="00102E83"/>
    <w:rsid w:val="00103DDF"/>
    <w:rsid w:val="0010478B"/>
    <w:rsid w:val="001050C4"/>
    <w:rsid w:val="001115A4"/>
    <w:rsid w:val="00112359"/>
    <w:rsid w:val="00114252"/>
    <w:rsid w:val="00117AD5"/>
    <w:rsid w:val="00121D15"/>
    <w:rsid w:val="0012579C"/>
    <w:rsid w:val="00130A34"/>
    <w:rsid w:val="00132605"/>
    <w:rsid w:val="00136B61"/>
    <w:rsid w:val="00141625"/>
    <w:rsid w:val="001438E6"/>
    <w:rsid w:val="001473C2"/>
    <w:rsid w:val="00151243"/>
    <w:rsid w:val="00151C27"/>
    <w:rsid w:val="001539E3"/>
    <w:rsid w:val="00153BA6"/>
    <w:rsid w:val="00153F09"/>
    <w:rsid w:val="00154B76"/>
    <w:rsid w:val="00160A00"/>
    <w:rsid w:val="00161485"/>
    <w:rsid w:val="00164140"/>
    <w:rsid w:val="00165672"/>
    <w:rsid w:val="00170345"/>
    <w:rsid w:val="0017057C"/>
    <w:rsid w:val="001737D5"/>
    <w:rsid w:val="00173B49"/>
    <w:rsid w:val="0018296E"/>
    <w:rsid w:val="00185054"/>
    <w:rsid w:val="00185D34"/>
    <w:rsid w:val="00186CFF"/>
    <w:rsid w:val="00190E33"/>
    <w:rsid w:val="00190F76"/>
    <w:rsid w:val="00191843"/>
    <w:rsid w:val="0019388E"/>
    <w:rsid w:val="00194057"/>
    <w:rsid w:val="001941F7"/>
    <w:rsid w:val="00194CC7"/>
    <w:rsid w:val="001958B3"/>
    <w:rsid w:val="001A04BD"/>
    <w:rsid w:val="001A1662"/>
    <w:rsid w:val="001A4137"/>
    <w:rsid w:val="001A5944"/>
    <w:rsid w:val="001A7DAB"/>
    <w:rsid w:val="001B0CC8"/>
    <w:rsid w:val="001B67E8"/>
    <w:rsid w:val="001C080E"/>
    <w:rsid w:val="001C0FC3"/>
    <w:rsid w:val="001C13BE"/>
    <w:rsid w:val="001C2217"/>
    <w:rsid w:val="001C59A7"/>
    <w:rsid w:val="001D40FA"/>
    <w:rsid w:val="001D756C"/>
    <w:rsid w:val="001E1821"/>
    <w:rsid w:val="001E3F47"/>
    <w:rsid w:val="001F02DC"/>
    <w:rsid w:val="001F0778"/>
    <w:rsid w:val="001F0A38"/>
    <w:rsid w:val="001F0BA0"/>
    <w:rsid w:val="001F0EF9"/>
    <w:rsid w:val="001F25C0"/>
    <w:rsid w:val="001F2F8F"/>
    <w:rsid w:val="001F4489"/>
    <w:rsid w:val="001F558D"/>
    <w:rsid w:val="0020022A"/>
    <w:rsid w:val="00204CF2"/>
    <w:rsid w:val="00211601"/>
    <w:rsid w:val="002116C2"/>
    <w:rsid w:val="00216E2A"/>
    <w:rsid w:val="00220880"/>
    <w:rsid w:val="00220B2F"/>
    <w:rsid w:val="00220E86"/>
    <w:rsid w:val="00222468"/>
    <w:rsid w:val="00225AC3"/>
    <w:rsid w:val="00226AE0"/>
    <w:rsid w:val="00230106"/>
    <w:rsid w:val="00232479"/>
    <w:rsid w:val="002345EC"/>
    <w:rsid w:val="00234D58"/>
    <w:rsid w:val="00235E25"/>
    <w:rsid w:val="002427E0"/>
    <w:rsid w:val="002466FC"/>
    <w:rsid w:val="00246E67"/>
    <w:rsid w:val="00247969"/>
    <w:rsid w:val="00251D43"/>
    <w:rsid w:val="00252521"/>
    <w:rsid w:val="0025273B"/>
    <w:rsid w:val="00253B4F"/>
    <w:rsid w:val="002548CE"/>
    <w:rsid w:val="0025560C"/>
    <w:rsid w:val="00255B86"/>
    <w:rsid w:val="002568C1"/>
    <w:rsid w:val="002578FB"/>
    <w:rsid w:val="00257906"/>
    <w:rsid w:val="00260420"/>
    <w:rsid w:val="002604CF"/>
    <w:rsid w:val="00261362"/>
    <w:rsid w:val="00261507"/>
    <w:rsid w:val="0026290E"/>
    <w:rsid w:val="00267CC7"/>
    <w:rsid w:val="00271F9C"/>
    <w:rsid w:val="00272931"/>
    <w:rsid w:val="002770FB"/>
    <w:rsid w:val="00280C2B"/>
    <w:rsid w:val="00290318"/>
    <w:rsid w:val="00290B77"/>
    <w:rsid w:val="002940E1"/>
    <w:rsid w:val="00295576"/>
    <w:rsid w:val="002A79AA"/>
    <w:rsid w:val="002B20D1"/>
    <w:rsid w:val="002B6B01"/>
    <w:rsid w:val="002B7CEF"/>
    <w:rsid w:val="002C20B6"/>
    <w:rsid w:val="002C4220"/>
    <w:rsid w:val="002C5CDB"/>
    <w:rsid w:val="002D1AE3"/>
    <w:rsid w:val="002D2396"/>
    <w:rsid w:val="002E4519"/>
    <w:rsid w:val="002E521E"/>
    <w:rsid w:val="00301F6F"/>
    <w:rsid w:val="00304067"/>
    <w:rsid w:val="00304995"/>
    <w:rsid w:val="00304F1C"/>
    <w:rsid w:val="00312E15"/>
    <w:rsid w:val="00313086"/>
    <w:rsid w:val="003130F8"/>
    <w:rsid w:val="00317944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1C96"/>
    <w:rsid w:val="00342B0C"/>
    <w:rsid w:val="0034455E"/>
    <w:rsid w:val="0034482C"/>
    <w:rsid w:val="00345CC3"/>
    <w:rsid w:val="003466A5"/>
    <w:rsid w:val="00351007"/>
    <w:rsid w:val="003512A4"/>
    <w:rsid w:val="00352B03"/>
    <w:rsid w:val="00352D40"/>
    <w:rsid w:val="00354E79"/>
    <w:rsid w:val="0035679C"/>
    <w:rsid w:val="00357900"/>
    <w:rsid w:val="00357FDE"/>
    <w:rsid w:val="003626A3"/>
    <w:rsid w:val="0036580C"/>
    <w:rsid w:val="00370767"/>
    <w:rsid w:val="00371513"/>
    <w:rsid w:val="003716D0"/>
    <w:rsid w:val="0037192C"/>
    <w:rsid w:val="00371D71"/>
    <w:rsid w:val="003724FD"/>
    <w:rsid w:val="00374498"/>
    <w:rsid w:val="0037484D"/>
    <w:rsid w:val="0038014B"/>
    <w:rsid w:val="003815A8"/>
    <w:rsid w:val="00381BE0"/>
    <w:rsid w:val="003823BF"/>
    <w:rsid w:val="003836D2"/>
    <w:rsid w:val="00387687"/>
    <w:rsid w:val="003A2AB6"/>
    <w:rsid w:val="003A2D7D"/>
    <w:rsid w:val="003A4466"/>
    <w:rsid w:val="003A45F0"/>
    <w:rsid w:val="003A54F6"/>
    <w:rsid w:val="003A736F"/>
    <w:rsid w:val="003A7DA8"/>
    <w:rsid w:val="003B10E9"/>
    <w:rsid w:val="003B1463"/>
    <w:rsid w:val="003B63D7"/>
    <w:rsid w:val="003B7F1E"/>
    <w:rsid w:val="003C1A14"/>
    <w:rsid w:val="003C39E5"/>
    <w:rsid w:val="003C4808"/>
    <w:rsid w:val="003C6BC7"/>
    <w:rsid w:val="003D0CDF"/>
    <w:rsid w:val="003D154E"/>
    <w:rsid w:val="003D2721"/>
    <w:rsid w:val="003D363F"/>
    <w:rsid w:val="003D43B2"/>
    <w:rsid w:val="003D5CFF"/>
    <w:rsid w:val="003D6376"/>
    <w:rsid w:val="003D6A3D"/>
    <w:rsid w:val="003E0B94"/>
    <w:rsid w:val="003E4074"/>
    <w:rsid w:val="003F4E7F"/>
    <w:rsid w:val="003F7085"/>
    <w:rsid w:val="003F78B0"/>
    <w:rsid w:val="0040015B"/>
    <w:rsid w:val="00403BA3"/>
    <w:rsid w:val="00404231"/>
    <w:rsid w:val="0040531F"/>
    <w:rsid w:val="00413A34"/>
    <w:rsid w:val="004145A6"/>
    <w:rsid w:val="00415917"/>
    <w:rsid w:val="00415E45"/>
    <w:rsid w:val="00416173"/>
    <w:rsid w:val="00416364"/>
    <w:rsid w:val="004167A4"/>
    <w:rsid w:val="004173B1"/>
    <w:rsid w:val="00422D22"/>
    <w:rsid w:val="00424AAF"/>
    <w:rsid w:val="00424EB1"/>
    <w:rsid w:val="0042590C"/>
    <w:rsid w:val="00431085"/>
    <w:rsid w:val="00431AC3"/>
    <w:rsid w:val="00431AD4"/>
    <w:rsid w:val="004340DD"/>
    <w:rsid w:val="00434BAB"/>
    <w:rsid w:val="00435B81"/>
    <w:rsid w:val="004432C5"/>
    <w:rsid w:val="0044743B"/>
    <w:rsid w:val="00451444"/>
    <w:rsid w:val="00452A41"/>
    <w:rsid w:val="00454450"/>
    <w:rsid w:val="00454E4C"/>
    <w:rsid w:val="00454FDA"/>
    <w:rsid w:val="0045516E"/>
    <w:rsid w:val="0045560D"/>
    <w:rsid w:val="0045793A"/>
    <w:rsid w:val="0046174B"/>
    <w:rsid w:val="00466BBA"/>
    <w:rsid w:val="0047462A"/>
    <w:rsid w:val="004752A8"/>
    <w:rsid w:val="00477AE0"/>
    <w:rsid w:val="00480E69"/>
    <w:rsid w:val="00484649"/>
    <w:rsid w:val="00487551"/>
    <w:rsid w:val="00491F23"/>
    <w:rsid w:val="00492306"/>
    <w:rsid w:val="00493792"/>
    <w:rsid w:val="00494226"/>
    <w:rsid w:val="00494863"/>
    <w:rsid w:val="00494A93"/>
    <w:rsid w:val="0049671C"/>
    <w:rsid w:val="00496ACF"/>
    <w:rsid w:val="00496D2E"/>
    <w:rsid w:val="00496D51"/>
    <w:rsid w:val="004976E9"/>
    <w:rsid w:val="00497CA0"/>
    <w:rsid w:val="004A0F97"/>
    <w:rsid w:val="004A10E4"/>
    <w:rsid w:val="004A1F0C"/>
    <w:rsid w:val="004A2539"/>
    <w:rsid w:val="004B4A6C"/>
    <w:rsid w:val="004C11E9"/>
    <w:rsid w:val="004C1B19"/>
    <w:rsid w:val="004C3883"/>
    <w:rsid w:val="004C3C9E"/>
    <w:rsid w:val="004C7401"/>
    <w:rsid w:val="004D14E9"/>
    <w:rsid w:val="004D34A7"/>
    <w:rsid w:val="004D5C44"/>
    <w:rsid w:val="004D7586"/>
    <w:rsid w:val="004E10DE"/>
    <w:rsid w:val="004E3632"/>
    <w:rsid w:val="004E5263"/>
    <w:rsid w:val="004E7801"/>
    <w:rsid w:val="004F19FE"/>
    <w:rsid w:val="004F1E5D"/>
    <w:rsid w:val="004F2A04"/>
    <w:rsid w:val="00500C14"/>
    <w:rsid w:val="00501375"/>
    <w:rsid w:val="00501E68"/>
    <w:rsid w:val="00502DE7"/>
    <w:rsid w:val="0050316B"/>
    <w:rsid w:val="005048B8"/>
    <w:rsid w:val="00511C28"/>
    <w:rsid w:val="0051234D"/>
    <w:rsid w:val="005127CD"/>
    <w:rsid w:val="00520DF5"/>
    <w:rsid w:val="0052304F"/>
    <w:rsid w:val="00523CF0"/>
    <w:rsid w:val="005242AE"/>
    <w:rsid w:val="005246D1"/>
    <w:rsid w:val="00527933"/>
    <w:rsid w:val="005305D2"/>
    <w:rsid w:val="00531867"/>
    <w:rsid w:val="0053309A"/>
    <w:rsid w:val="00533366"/>
    <w:rsid w:val="0053525F"/>
    <w:rsid w:val="00537056"/>
    <w:rsid w:val="00542E3F"/>
    <w:rsid w:val="00542F23"/>
    <w:rsid w:val="00544605"/>
    <w:rsid w:val="00544CA0"/>
    <w:rsid w:val="005501F0"/>
    <w:rsid w:val="0055036A"/>
    <w:rsid w:val="00550722"/>
    <w:rsid w:val="00551603"/>
    <w:rsid w:val="00553A2A"/>
    <w:rsid w:val="00556785"/>
    <w:rsid w:val="0056042F"/>
    <w:rsid w:val="00562FB8"/>
    <w:rsid w:val="0056469B"/>
    <w:rsid w:val="005710BF"/>
    <w:rsid w:val="005716BD"/>
    <w:rsid w:val="0057313F"/>
    <w:rsid w:val="005732A6"/>
    <w:rsid w:val="005745A0"/>
    <w:rsid w:val="0058027B"/>
    <w:rsid w:val="00580707"/>
    <w:rsid w:val="00580776"/>
    <w:rsid w:val="00582117"/>
    <w:rsid w:val="0058217A"/>
    <w:rsid w:val="00593B61"/>
    <w:rsid w:val="005A1FF0"/>
    <w:rsid w:val="005A260D"/>
    <w:rsid w:val="005A3124"/>
    <w:rsid w:val="005A74EF"/>
    <w:rsid w:val="005B157C"/>
    <w:rsid w:val="005B213B"/>
    <w:rsid w:val="005B29FF"/>
    <w:rsid w:val="005B3168"/>
    <w:rsid w:val="005B480E"/>
    <w:rsid w:val="005B7505"/>
    <w:rsid w:val="005C6B07"/>
    <w:rsid w:val="005D0A95"/>
    <w:rsid w:val="005D25D2"/>
    <w:rsid w:val="005D3B52"/>
    <w:rsid w:val="005D3B6E"/>
    <w:rsid w:val="005E2A14"/>
    <w:rsid w:val="005E3A65"/>
    <w:rsid w:val="005F5FC6"/>
    <w:rsid w:val="0060041D"/>
    <w:rsid w:val="00601B22"/>
    <w:rsid w:val="006024EF"/>
    <w:rsid w:val="00605281"/>
    <w:rsid w:val="0060606F"/>
    <w:rsid w:val="00611D62"/>
    <w:rsid w:val="00613197"/>
    <w:rsid w:val="006135CE"/>
    <w:rsid w:val="00616BAF"/>
    <w:rsid w:val="00616F6B"/>
    <w:rsid w:val="0062492D"/>
    <w:rsid w:val="00625D4D"/>
    <w:rsid w:val="00630A79"/>
    <w:rsid w:val="006353E1"/>
    <w:rsid w:val="006434B6"/>
    <w:rsid w:val="006443C6"/>
    <w:rsid w:val="00645CB7"/>
    <w:rsid w:val="0065060F"/>
    <w:rsid w:val="00653FA3"/>
    <w:rsid w:val="00656511"/>
    <w:rsid w:val="00656B44"/>
    <w:rsid w:val="00657785"/>
    <w:rsid w:val="006618C0"/>
    <w:rsid w:val="00661FF9"/>
    <w:rsid w:val="00662A00"/>
    <w:rsid w:val="00663C69"/>
    <w:rsid w:val="00664B81"/>
    <w:rsid w:val="00665C9C"/>
    <w:rsid w:val="00666813"/>
    <w:rsid w:val="006721D4"/>
    <w:rsid w:val="0067231C"/>
    <w:rsid w:val="006753F2"/>
    <w:rsid w:val="006801C3"/>
    <w:rsid w:val="006815DD"/>
    <w:rsid w:val="00681C41"/>
    <w:rsid w:val="006826F0"/>
    <w:rsid w:val="00682CCB"/>
    <w:rsid w:val="00685C5E"/>
    <w:rsid w:val="00686BF3"/>
    <w:rsid w:val="00687E25"/>
    <w:rsid w:val="00691983"/>
    <w:rsid w:val="00696914"/>
    <w:rsid w:val="00696EDF"/>
    <w:rsid w:val="0069773A"/>
    <w:rsid w:val="006A17E7"/>
    <w:rsid w:val="006A1BCC"/>
    <w:rsid w:val="006A34A9"/>
    <w:rsid w:val="006A45D2"/>
    <w:rsid w:val="006A4877"/>
    <w:rsid w:val="006A7AAE"/>
    <w:rsid w:val="006B03E4"/>
    <w:rsid w:val="006B2BF8"/>
    <w:rsid w:val="006B365C"/>
    <w:rsid w:val="006B6921"/>
    <w:rsid w:val="006B75F2"/>
    <w:rsid w:val="006C1379"/>
    <w:rsid w:val="006C259C"/>
    <w:rsid w:val="006C3CAF"/>
    <w:rsid w:val="006C3DA1"/>
    <w:rsid w:val="006C7F6D"/>
    <w:rsid w:val="006D1C4C"/>
    <w:rsid w:val="006D5980"/>
    <w:rsid w:val="006D7916"/>
    <w:rsid w:val="006E0608"/>
    <w:rsid w:val="006E2E88"/>
    <w:rsid w:val="006F31A9"/>
    <w:rsid w:val="00700040"/>
    <w:rsid w:val="00700ECD"/>
    <w:rsid w:val="00702FA9"/>
    <w:rsid w:val="00704A91"/>
    <w:rsid w:val="00705A5B"/>
    <w:rsid w:val="007104E6"/>
    <w:rsid w:val="007113AB"/>
    <w:rsid w:val="00717D27"/>
    <w:rsid w:val="00727512"/>
    <w:rsid w:val="00730955"/>
    <w:rsid w:val="00732FE6"/>
    <w:rsid w:val="00733786"/>
    <w:rsid w:val="00736036"/>
    <w:rsid w:val="0073786A"/>
    <w:rsid w:val="00745165"/>
    <w:rsid w:val="0074727D"/>
    <w:rsid w:val="00750B12"/>
    <w:rsid w:val="007634CC"/>
    <w:rsid w:val="0077009A"/>
    <w:rsid w:val="00771487"/>
    <w:rsid w:val="0077620C"/>
    <w:rsid w:val="0078514A"/>
    <w:rsid w:val="0078739E"/>
    <w:rsid w:val="0079038B"/>
    <w:rsid w:val="0079045A"/>
    <w:rsid w:val="00793D88"/>
    <w:rsid w:val="00793DFC"/>
    <w:rsid w:val="00795D6C"/>
    <w:rsid w:val="00796BAC"/>
    <w:rsid w:val="007A16B3"/>
    <w:rsid w:val="007A3F05"/>
    <w:rsid w:val="007A45B1"/>
    <w:rsid w:val="007A6C80"/>
    <w:rsid w:val="007A6E43"/>
    <w:rsid w:val="007B6351"/>
    <w:rsid w:val="007B70C8"/>
    <w:rsid w:val="007B7D04"/>
    <w:rsid w:val="007C05F6"/>
    <w:rsid w:val="007C1153"/>
    <w:rsid w:val="007C468C"/>
    <w:rsid w:val="007C4A54"/>
    <w:rsid w:val="007C57C7"/>
    <w:rsid w:val="007D14F4"/>
    <w:rsid w:val="007D4C18"/>
    <w:rsid w:val="007D4DE9"/>
    <w:rsid w:val="007D569D"/>
    <w:rsid w:val="007D58F7"/>
    <w:rsid w:val="007D7602"/>
    <w:rsid w:val="007E203B"/>
    <w:rsid w:val="007E3A5E"/>
    <w:rsid w:val="007E4BB8"/>
    <w:rsid w:val="007E5590"/>
    <w:rsid w:val="007F04B8"/>
    <w:rsid w:val="007F2045"/>
    <w:rsid w:val="007F2202"/>
    <w:rsid w:val="007F2508"/>
    <w:rsid w:val="007F2582"/>
    <w:rsid w:val="007F4800"/>
    <w:rsid w:val="007F5EE7"/>
    <w:rsid w:val="007F602B"/>
    <w:rsid w:val="007F69AA"/>
    <w:rsid w:val="007F6DCD"/>
    <w:rsid w:val="00801800"/>
    <w:rsid w:val="008026EC"/>
    <w:rsid w:val="00802FCE"/>
    <w:rsid w:val="0080403F"/>
    <w:rsid w:val="00804693"/>
    <w:rsid w:val="00805F34"/>
    <w:rsid w:val="00810900"/>
    <w:rsid w:val="00812476"/>
    <w:rsid w:val="00813263"/>
    <w:rsid w:val="00815A81"/>
    <w:rsid w:val="00817B39"/>
    <w:rsid w:val="00820745"/>
    <w:rsid w:val="00822F21"/>
    <w:rsid w:val="00824210"/>
    <w:rsid w:val="0082481B"/>
    <w:rsid w:val="00826754"/>
    <w:rsid w:val="00826A9E"/>
    <w:rsid w:val="00827795"/>
    <w:rsid w:val="00831420"/>
    <w:rsid w:val="00831E8D"/>
    <w:rsid w:val="008330B1"/>
    <w:rsid w:val="008404FF"/>
    <w:rsid w:val="008410F5"/>
    <w:rsid w:val="008430DB"/>
    <w:rsid w:val="008512A8"/>
    <w:rsid w:val="0085233F"/>
    <w:rsid w:val="00853593"/>
    <w:rsid w:val="00856471"/>
    <w:rsid w:val="00857C87"/>
    <w:rsid w:val="008614C8"/>
    <w:rsid w:val="008635BB"/>
    <w:rsid w:val="00864209"/>
    <w:rsid w:val="00864D63"/>
    <w:rsid w:val="008700E8"/>
    <w:rsid w:val="00871402"/>
    <w:rsid w:val="00872111"/>
    <w:rsid w:val="00875BB2"/>
    <w:rsid w:val="0088374A"/>
    <w:rsid w:val="00886AE7"/>
    <w:rsid w:val="008873C1"/>
    <w:rsid w:val="0088743B"/>
    <w:rsid w:val="0088763A"/>
    <w:rsid w:val="00892BE2"/>
    <w:rsid w:val="00892DAC"/>
    <w:rsid w:val="008A0CF3"/>
    <w:rsid w:val="008A2B7F"/>
    <w:rsid w:val="008B05F6"/>
    <w:rsid w:val="008B17D5"/>
    <w:rsid w:val="008B6536"/>
    <w:rsid w:val="008C1252"/>
    <w:rsid w:val="008C1775"/>
    <w:rsid w:val="008C2F83"/>
    <w:rsid w:val="008D0266"/>
    <w:rsid w:val="008D4935"/>
    <w:rsid w:val="008D5302"/>
    <w:rsid w:val="008E12F7"/>
    <w:rsid w:val="008E7601"/>
    <w:rsid w:val="008F0B66"/>
    <w:rsid w:val="008F1F50"/>
    <w:rsid w:val="008F32E7"/>
    <w:rsid w:val="008F3FD9"/>
    <w:rsid w:val="0090228D"/>
    <w:rsid w:val="00902EE5"/>
    <w:rsid w:val="009046E8"/>
    <w:rsid w:val="00905203"/>
    <w:rsid w:val="009066B0"/>
    <w:rsid w:val="00906931"/>
    <w:rsid w:val="00906DA3"/>
    <w:rsid w:val="00910F2F"/>
    <w:rsid w:val="00913F00"/>
    <w:rsid w:val="009144ED"/>
    <w:rsid w:val="00916934"/>
    <w:rsid w:val="00920F40"/>
    <w:rsid w:val="00924606"/>
    <w:rsid w:val="00924F05"/>
    <w:rsid w:val="00927467"/>
    <w:rsid w:val="0093002F"/>
    <w:rsid w:val="00934035"/>
    <w:rsid w:val="00934891"/>
    <w:rsid w:val="009444D8"/>
    <w:rsid w:val="0094521B"/>
    <w:rsid w:val="00945944"/>
    <w:rsid w:val="009460E1"/>
    <w:rsid w:val="009463FC"/>
    <w:rsid w:val="0095056F"/>
    <w:rsid w:val="00953C8A"/>
    <w:rsid w:val="0095473A"/>
    <w:rsid w:val="0095535B"/>
    <w:rsid w:val="00955C55"/>
    <w:rsid w:val="0095785B"/>
    <w:rsid w:val="0096169B"/>
    <w:rsid w:val="00967577"/>
    <w:rsid w:val="00972787"/>
    <w:rsid w:val="00974260"/>
    <w:rsid w:val="009762B4"/>
    <w:rsid w:val="00980533"/>
    <w:rsid w:val="0098067A"/>
    <w:rsid w:val="009822DE"/>
    <w:rsid w:val="009822F9"/>
    <w:rsid w:val="009859CC"/>
    <w:rsid w:val="00987F83"/>
    <w:rsid w:val="00991DDC"/>
    <w:rsid w:val="0099212D"/>
    <w:rsid w:val="00992D2F"/>
    <w:rsid w:val="009938EA"/>
    <w:rsid w:val="009A2F10"/>
    <w:rsid w:val="009A463D"/>
    <w:rsid w:val="009B23AD"/>
    <w:rsid w:val="009B474F"/>
    <w:rsid w:val="009B6342"/>
    <w:rsid w:val="009C2B68"/>
    <w:rsid w:val="009C3E0F"/>
    <w:rsid w:val="009D1787"/>
    <w:rsid w:val="009D3260"/>
    <w:rsid w:val="009E1435"/>
    <w:rsid w:val="009E4562"/>
    <w:rsid w:val="009E46A3"/>
    <w:rsid w:val="009F3753"/>
    <w:rsid w:val="009F58C4"/>
    <w:rsid w:val="009F6E58"/>
    <w:rsid w:val="00A017F7"/>
    <w:rsid w:val="00A02953"/>
    <w:rsid w:val="00A03E12"/>
    <w:rsid w:val="00A05B25"/>
    <w:rsid w:val="00A05DDC"/>
    <w:rsid w:val="00A066DB"/>
    <w:rsid w:val="00A10E8D"/>
    <w:rsid w:val="00A1215F"/>
    <w:rsid w:val="00A13193"/>
    <w:rsid w:val="00A13FB7"/>
    <w:rsid w:val="00A14F34"/>
    <w:rsid w:val="00A15A3F"/>
    <w:rsid w:val="00A16481"/>
    <w:rsid w:val="00A20284"/>
    <w:rsid w:val="00A204B7"/>
    <w:rsid w:val="00A22B13"/>
    <w:rsid w:val="00A27C90"/>
    <w:rsid w:val="00A27F60"/>
    <w:rsid w:val="00A32A06"/>
    <w:rsid w:val="00A332A8"/>
    <w:rsid w:val="00A33EF3"/>
    <w:rsid w:val="00A35824"/>
    <w:rsid w:val="00A362F4"/>
    <w:rsid w:val="00A40452"/>
    <w:rsid w:val="00A41FDB"/>
    <w:rsid w:val="00A43A4C"/>
    <w:rsid w:val="00A470FE"/>
    <w:rsid w:val="00A50A52"/>
    <w:rsid w:val="00A50E6B"/>
    <w:rsid w:val="00A52F25"/>
    <w:rsid w:val="00A551F3"/>
    <w:rsid w:val="00A5695A"/>
    <w:rsid w:val="00A6061A"/>
    <w:rsid w:val="00A73529"/>
    <w:rsid w:val="00A75AF4"/>
    <w:rsid w:val="00A75B87"/>
    <w:rsid w:val="00A81C71"/>
    <w:rsid w:val="00A8295C"/>
    <w:rsid w:val="00A84793"/>
    <w:rsid w:val="00A86764"/>
    <w:rsid w:val="00A948EE"/>
    <w:rsid w:val="00A95833"/>
    <w:rsid w:val="00A96F77"/>
    <w:rsid w:val="00A97154"/>
    <w:rsid w:val="00AA0703"/>
    <w:rsid w:val="00AA1136"/>
    <w:rsid w:val="00AA446B"/>
    <w:rsid w:val="00AA44E9"/>
    <w:rsid w:val="00AA5A4B"/>
    <w:rsid w:val="00AA7D6C"/>
    <w:rsid w:val="00AB419A"/>
    <w:rsid w:val="00AB6F46"/>
    <w:rsid w:val="00AB723F"/>
    <w:rsid w:val="00AC264B"/>
    <w:rsid w:val="00AC51CE"/>
    <w:rsid w:val="00AD0133"/>
    <w:rsid w:val="00AD03E0"/>
    <w:rsid w:val="00AD1AB5"/>
    <w:rsid w:val="00AD27CA"/>
    <w:rsid w:val="00AD3192"/>
    <w:rsid w:val="00AD4F81"/>
    <w:rsid w:val="00AE3725"/>
    <w:rsid w:val="00AE7437"/>
    <w:rsid w:val="00AE7E22"/>
    <w:rsid w:val="00AF29AE"/>
    <w:rsid w:val="00AF3552"/>
    <w:rsid w:val="00AF44D7"/>
    <w:rsid w:val="00B01085"/>
    <w:rsid w:val="00B05F85"/>
    <w:rsid w:val="00B11075"/>
    <w:rsid w:val="00B13359"/>
    <w:rsid w:val="00B141E4"/>
    <w:rsid w:val="00B14821"/>
    <w:rsid w:val="00B15404"/>
    <w:rsid w:val="00B16BAB"/>
    <w:rsid w:val="00B16DAF"/>
    <w:rsid w:val="00B22502"/>
    <w:rsid w:val="00B23332"/>
    <w:rsid w:val="00B25008"/>
    <w:rsid w:val="00B25E15"/>
    <w:rsid w:val="00B26B6A"/>
    <w:rsid w:val="00B27169"/>
    <w:rsid w:val="00B32A0C"/>
    <w:rsid w:val="00B3548F"/>
    <w:rsid w:val="00B363A1"/>
    <w:rsid w:val="00B41276"/>
    <w:rsid w:val="00B41A27"/>
    <w:rsid w:val="00B42FAE"/>
    <w:rsid w:val="00B4360B"/>
    <w:rsid w:val="00B441B4"/>
    <w:rsid w:val="00B45A68"/>
    <w:rsid w:val="00B510BE"/>
    <w:rsid w:val="00B519B9"/>
    <w:rsid w:val="00B52443"/>
    <w:rsid w:val="00B5703E"/>
    <w:rsid w:val="00B6196F"/>
    <w:rsid w:val="00B64A4F"/>
    <w:rsid w:val="00B67E58"/>
    <w:rsid w:val="00B720EA"/>
    <w:rsid w:val="00B75E80"/>
    <w:rsid w:val="00B77A75"/>
    <w:rsid w:val="00B80018"/>
    <w:rsid w:val="00B80F86"/>
    <w:rsid w:val="00B82AF8"/>
    <w:rsid w:val="00B847F8"/>
    <w:rsid w:val="00B8538D"/>
    <w:rsid w:val="00B90C20"/>
    <w:rsid w:val="00B917E5"/>
    <w:rsid w:val="00B93CAB"/>
    <w:rsid w:val="00B94069"/>
    <w:rsid w:val="00B94FB0"/>
    <w:rsid w:val="00B9664F"/>
    <w:rsid w:val="00B97823"/>
    <w:rsid w:val="00BA1732"/>
    <w:rsid w:val="00BA40F4"/>
    <w:rsid w:val="00BA4CC7"/>
    <w:rsid w:val="00BA60C2"/>
    <w:rsid w:val="00BB090F"/>
    <w:rsid w:val="00BB418C"/>
    <w:rsid w:val="00BB6FA8"/>
    <w:rsid w:val="00BC24AF"/>
    <w:rsid w:val="00BC2D4C"/>
    <w:rsid w:val="00BC5405"/>
    <w:rsid w:val="00BC6300"/>
    <w:rsid w:val="00BC6C15"/>
    <w:rsid w:val="00BC6EB4"/>
    <w:rsid w:val="00BD0A9C"/>
    <w:rsid w:val="00BD4B4D"/>
    <w:rsid w:val="00BD7613"/>
    <w:rsid w:val="00BE1A7F"/>
    <w:rsid w:val="00BE23D2"/>
    <w:rsid w:val="00BE44DA"/>
    <w:rsid w:val="00BE4661"/>
    <w:rsid w:val="00BF1477"/>
    <w:rsid w:val="00BF359B"/>
    <w:rsid w:val="00BF37D5"/>
    <w:rsid w:val="00BF646B"/>
    <w:rsid w:val="00BF7B0F"/>
    <w:rsid w:val="00C02A17"/>
    <w:rsid w:val="00C05AE4"/>
    <w:rsid w:val="00C07C06"/>
    <w:rsid w:val="00C10B9A"/>
    <w:rsid w:val="00C10DAC"/>
    <w:rsid w:val="00C125A9"/>
    <w:rsid w:val="00C17A46"/>
    <w:rsid w:val="00C21796"/>
    <w:rsid w:val="00C21ACF"/>
    <w:rsid w:val="00C32753"/>
    <w:rsid w:val="00C33ABB"/>
    <w:rsid w:val="00C37AFB"/>
    <w:rsid w:val="00C42667"/>
    <w:rsid w:val="00C4337C"/>
    <w:rsid w:val="00C4398B"/>
    <w:rsid w:val="00C529BD"/>
    <w:rsid w:val="00C540D3"/>
    <w:rsid w:val="00C54B36"/>
    <w:rsid w:val="00C60509"/>
    <w:rsid w:val="00C61275"/>
    <w:rsid w:val="00C6275E"/>
    <w:rsid w:val="00C650BD"/>
    <w:rsid w:val="00C6625A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96646"/>
    <w:rsid w:val="00CA06EE"/>
    <w:rsid w:val="00CA123D"/>
    <w:rsid w:val="00CA2676"/>
    <w:rsid w:val="00CA4947"/>
    <w:rsid w:val="00CA4FD4"/>
    <w:rsid w:val="00CA52A8"/>
    <w:rsid w:val="00CA7B62"/>
    <w:rsid w:val="00CB5404"/>
    <w:rsid w:val="00CB6732"/>
    <w:rsid w:val="00CC3068"/>
    <w:rsid w:val="00CC50A0"/>
    <w:rsid w:val="00CC5789"/>
    <w:rsid w:val="00CC7889"/>
    <w:rsid w:val="00CD0032"/>
    <w:rsid w:val="00CD2CDF"/>
    <w:rsid w:val="00CD3EEB"/>
    <w:rsid w:val="00CE120D"/>
    <w:rsid w:val="00CE3886"/>
    <w:rsid w:val="00CE6672"/>
    <w:rsid w:val="00CE7F21"/>
    <w:rsid w:val="00CF039D"/>
    <w:rsid w:val="00CF198D"/>
    <w:rsid w:val="00CF1EB4"/>
    <w:rsid w:val="00CF4D24"/>
    <w:rsid w:val="00CF5323"/>
    <w:rsid w:val="00CF6922"/>
    <w:rsid w:val="00D00A60"/>
    <w:rsid w:val="00D01D50"/>
    <w:rsid w:val="00D01FC0"/>
    <w:rsid w:val="00D0401B"/>
    <w:rsid w:val="00D0455A"/>
    <w:rsid w:val="00D0617E"/>
    <w:rsid w:val="00D15C3E"/>
    <w:rsid w:val="00D166E0"/>
    <w:rsid w:val="00D2151D"/>
    <w:rsid w:val="00D21BA0"/>
    <w:rsid w:val="00D21CAF"/>
    <w:rsid w:val="00D238A0"/>
    <w:rsid w:val="00D23965"/>
    <w:rsid w:val="00D25762"/>
    <w:rsid w:val="00D27214"/>
    <w:rsid w:val="00D3269C"/>
    <w:rsid w:val="00D3272E"/>
    <w:rsid w:val="00D33E13"/>
    <w:rsid w:val="00D35004"/>
    <w:rsid w:val="00D37C31"/>
    <w:rsid w:val="00D41270"/>
    <w:rsid w:val="00D41A16"/>
    <w:rsid w:val="00D41ABF"/>
    <w:rsid w:val="00D45FEC"/>
    <w:rsid w:val="00D5027F"/>
    <w:rsid w:val="00D52A76"/>
    <w:rsid w:val="00D52D2B"/>
    <w:rsid w:val="00D55E65"/>
    <w:rsid w:val="00D602DE"/>
    <w:rsid w:val="00D625A3"/>
    <w:rsid w:val="00D65CE0"/>
    <w:rsid w:val="00D70E83"/>
    <w:rsid w:val="00D74B9E"/>
    <w:rsid w:val="00D74CF5"/>
    <w:rsid w:val="00D75829"/>
    <w:rsid w:val="00D75BA9"/>
    <w:rsid w:val="00D76C43"/>
    <w:rsid w:val="00D811E5"/>
    <w:rsid w:val="00D82F99"/>
    <w:rsid w:val="00D92742"/>
    <w:rsid w:val="00D9299C"/>
    <w:rsid w:val="00D96AAB"/>
    <w:rsid w:val="00DA0713"/>
    <w:rsid w:val="00DA3835"/>
    <w:rsid w:val="00DA3CB7"/>
    <w:rsid w:val="00DA5E1E"/>
    <w:rsid w:val="00DB0D0B"/>
    <w:rsid w:val="00DB2585"/>
    <w:rsid w:val="00DB601A"/>
    <w:rsid w:val="00DB70F0"/>
    <w:rsid w:val="00DC3261"/>
    <w:rsid w:val="00DC3C6D"/>
    <w:rsid w:val="00DC6318"/>
    <w:rsid w:val="00DC667A"/>
    <w:rsid w:val="00DC6893"/>
    <w:rsid w:val="00DD556F"/>
    <w:rsid w:val="00DD72EC"/>
    <w:rsid w:val="00DE1307"/>
    <w:rsid w:val="00DE1BD1"/>
    <w:rsid w:val="00DE1CB6"/>
    <w:rsid w:val="00DE3239"/>
    <w:rsid w:val="00DE42E0"/>
    <w:rsid w:val="00DE4D67"/>
    <w:rsid w:val="00DF00E0"/>
    <w:rsid w:val="00DF14CD"/>
    <w:rsid w:val="00DF21D2"/>
    <w:rsid w:val="00E03B58"/>
    <w:rsid w:val="00E03C5A"/>
    <w:rsid w:val="00E06D10"/>
    <w:rsid w:val="00E11291"/>
    <w:rsid w:val="00E11414"/>
    <w:rsid w:val="00E120F4"/>
    <w:rsid w:val="00E149CA"/>
    <w:rsid w:val="00E1690E"/>
    <w:rsid w:val="00E17A24"/>
    <w:rsid w:val="00E202AE"/>
    <w:rsid w:val="00E2049E"/>
    <w:rsid w:val="00E20BED"/>
    <w:rsid w:val="00E22B10"/>
    <w:rsid w:val="00E24025"/>
    <w:rsid w:val="00E3181B"/>
    <w:rsid w:val="00E3326E"/>
    <w:rsid w:val="00E33960"/>
    <w:rsid w:val="00E35124"/>
    <w:rsid w:val="00E35601"/>
    <w:rsid w:val="00E3745B"/>
    <w:rsid w:val="00E408E1"/>
    <w:rsid w:val="00E427F3"/>
    <w:rsid w:val="00E42ED2"/>
    <w:rsid w:val="00E43F59"/>
    <w:rsid w:val="00E459EF"/>
    <w:rsid w:val="00E45EEF"/>
    <w:rsid w:val="00E629D0"/>
    <w:rsid w:val="00E630E9"/>
    <w:rsid w:val="00E64A20"/>
    <w:rsid w:val="00E64CDC"/>
    <w:rsid w:val="00E70F08"/>
    <w:rsid w:val="00E743A7"/>
    <w:rsid w:val="00E76E30"/>
    <w:rsid w:val="00E825F3"/>
    <w:rsid w:val="00E83A54"/>
    <w:rsid w:val="00E841FD"/>
    <w:rsid w:val="00E84480"/>
    <w:rsid w:val="00E84978"/>
    <w:rsid w:val="00E86D19"/>
    <w:rsid w:val="00E86FD0"/>
    <w:rsid w:val="00E87501"/>
    <w:rsid w:val="00E91F31"/>
    <w:rsid w:val="00E94D85"/>
    <w:rsid w:val="00E97207"/>
    <w:rsid w:val="00EA36A5"/>
    <w:rsid w:val="00EA41C9"/>
    <w:rsid w:val="00EA7E2B"/>
    <w:rsid w:val="00EB3387"/>
    <w:rsid w:val="00EB536D"/>
    <w:rsid w:val="00EC14FA"/>
    <w:rsid w:val="00EC3896"/>
    <w:rsid w:val="00EC5149"/>
    <w:rsid w:val="00ED137F"/>
    <w:rsid w:val="00ED2D6D"/>
    <w:rsid w:val="00ED44F1"/>
    <w:rsid w:val="00ED5032"/>
    <w:rsid w:val="00EE18D7"/>
    <w:rsid w:val="00EE22A9"/>
    <w:rsid w:val="00EE29EE"/>
    <w:rsid w:val="00EE5E79"/>
    <w:rsid w:val="00EE7BB4"/>
    <w:rsid w:val="00EF06C2"/>
    <w:rsid w:val="00EF5EBB"/>
    <w:rsid w:val="00EF656C"/>
    <w:rsid w:val="00F02C82"/>
    <w:rsid w:val="00F07E9A"/>
    <w:rsid w:val="00F11380"/>
    <w:rsid w:val="00F135E4"/>
    <w:rsid w:val="00F17E61"/>
    <w:rsid w:val="00F20394"/>
    <w:rsid w:val="00F240BD"/>
    <w:rsid w:val="00F241D6"/>
    <w:rsid w:val="00F26061"/>
    <w:rsid w:val="00F31C6B"/>
    <w:rsid w:val="00F32478"/>
    <w:rsid w:val="00F32770"/>
    <w:rsid w:val="00F3709B"/>
    <w:rsid w:val="00F37B77"/>
    <w:rsid w:val="00F41627"/>
    <w:rsid w:val="00F43D6F"/>
    <w:rsid w:val="00F45138"/>
    <w:rsid w:val="00F45569"/>
    <w:rsid w:val="00F471D5"/>
    <w:rsid w:val="00F47838"/>
    <w:rsid w:val="00F501C6"/>
    <w:rsid w:val="00F51951"/>
    <w:rsid w:val="00F51E12"/>
    <w:rsid w:val="00F52F90"/>
    <w:rsid w:val="00F61E2D"/>
    <w:rsid w:val="00F6514C"/>
    <w:rsid w:val="00F6582B"/>
    <w:rsid w:val="00F65A50"/>
    <w:rsid w:val="00F75D63"/>
    <w:rsid w:val="00F77458"/>
    <w:rsid w:val="00F825A3"/>
    <w:rsid w:val="00F91596"/>
    <w:rsid w:val="00FA3FE4"/>
    <w:rsid w:val="00FA5200"/>
    <w:rsid w:val="00FA6F22"/>
    <w:rsid w:val="00FB310E"/>
    <w:rsid w:val="00FB3D33"/>
    <w:rsid w:val="00FB663B"/>
    <w:rsid w:val="00FB6DA3"/>
    <w:rsid w:val="00FC213D"/>
    <w:rsid w:val="00FC5017"/>
    <w:rsid w:val="00FD0392"/>
    <w:rsid w:val="00FD0D57"/>
    <w:rsid w:val="00FD1FD1"/>
    <w:rsid w:val="00FD4016"/>
    <w:rsid w:val="00FD485B"/>
    <w:rsid w:val="00FD760F"/>
    <w:rsid w:val="00FD7A95"/>
    <w:rsid w:val="00FE7995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uiPriority w:val="59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CD00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C3CAF"/>
    <w:pPr>
      <w:ind w:left="720"/>
      <w:contextualSpacing/>
    </w:pPr>
  </w:style>
  <w:style w:type="paragraph" w:customStyle="1" w:styleId="Default">
    <w:name w:val="Default"/>
    <w:rsid w:val="0077148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12">
    <w:name w:val="Font Style12"/>
    <w:basedOn w:val="a0"/>
    <w:rsid w:val="00220B2F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ab">
    <w:name w:val="Normal (Web)"/>
    <w:basedOn w:val="a"/>
    <w:uiPriority w:val="99"/>
    <w:unhideWhenUsed/>
    <w:rsid w:val="001416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CBD1-87BC-4FFC-B692-F866A686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32</Pages>
  <Words>5783</Words>
  <Characters>44841</Characters>
  <Application>Microsoft Office Word</Application>
  <DocSecurity>0</DocSecurity>
  <Lines>373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golovina_ea</cp:lastModifiedBy>
  <cp:revision>134</cp:revision>
  <cp:lastPrinted>2020-07-10T01:32:00Z</cp:lastPrinted>
  <dcterms:created xsi:type="dcterms:W3CDTF">2015-02-10T07:36:00Z</dcterms:created>
  <dcterms:modified xsi:type="dcterms:W3CDTF">2021-01-22T07:01:00Z</dcterms:modified>
</cp:coreProperties>
</file>